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2EE" w:rsidRDefault="00D32884">
      <w:pPr>
        <w:spacing w:after="0" w:line="240" w:lineRule="auto"/>
        <w:rPr>
          <w:rFonts w:ascii="Arial" w:eastAsia="Arial" w:hAnsi="Arial" w:cs="Arial"/>
          <w:sz w:val="20"/>
          <w:szCs w:val="20"/>
        </w:rPr>
      </w:pPr>
      <w:r>
        <w:rPr>
          <w:rFonts w:ascii="Arial" w:hAnsi="Arial"/>
          <w:sz w:val="20"/>
          <w:szCs w:val="20"/>
        </w:rPr>
        <w:t xml:space="preserve">AfB SH  Antrag zur </w:t>
      </w:r>
      <w:bookmarkStart w:id="0" w:name="_GoBack"/>
      <w:r>
        <w:rPr>
          <w:rFonts w:ascii="Arial" w:hAnsi="Arial"/>
          <w:sz w:val="20"/>
          <w:szCs w:val="20"/>
        </w:rPr>
        <w:t xml:space="preserve">Weiterentwicklung der Inklusiven Bildung </w:t>
      </w:r>
      <w:bookmarkEnd w:id="0"/>
      <w:r>
        <w:rPr>
          <w:rFonts w:ascii="Arial" w:hAnsi="Arial"/>
          <w:sz w:val="20"/>
          <w:szCs w:val="20"/>
        </w:rPr>
        <w:t>in Schleswig-Holstein</w:t>
      </w:r>
      <w:r w:rsidR="00905849">
        <w:rPr>
          <w:rFonts w:ascii="Arial" w:hAnsi="Arial"/>
          <w:sz w:val="20"/>
          <w:szCs w:val="20"/>
        </w:rPr>
        <w:br/>
      </w:r>
      <w:r>
        <w:rPr>
          <w:rFonts w:ascii="Arial Unicode MS" w:eastAsia="Arial Unicode MS" w:hAnsi="Arial Unicode MS" w:cs="Arial Unicode MS"/>
          <w:sz w:val="20"/>
          <w:szCs w:val="20"/>
        </w:rPr>
        <w:br/>
      </w:r>
    </w:p>
    <w:p w:rsidR="00F132EE" w:rsidRDefault="00D32884">
      <w:pPr>
        <w:pStyle w:val="Listenabsatz"/>
        <w:numPr>
          <w:ilvl w:val="0"/>
          <w:numId w:val="2"/>
        </w:numPr>
        <w:rPr>
          <w:i/>
          <w:iCs/>
          <w:sz w:val="20"/>
          <w:szCs w:val="20"/>
        </w:rPr>
      </w:pPr>
      <w:r>
        <w:rPr>
          <w:b/>
          <w:bCs/>
          <w:sz w:val="20"/>
          <w:szCs w:val="20"/>
        </w:rPr>
        <w:t>Der LV möge beschließen:</w:t>
      </w:r>
      <w:r>
        <w:rPr>
          <w:rFonts w:ascii="Arial Unicode MS" w:hAnsi="Arial Unicode MS"/>
          <w:sz w:val="20"/>
          <w:szCs w:val="20"/>
        </w:rPr>
        <w:br/>
      </w:r>
      <w:r>
        <w:rPr>
          <w:i/>
          <w:iCs/>
          <w:sz w:val="20"/>
          <w:szCs w:val="20"/>
        </w:rPr>
        <w:t xml:space="preserve">Alle Schulen sollen inklusive Schulen werden, die Vielfalt schätzen und individuell fördern. Für alle Schüler*innen soll bei Bedarf angemessene Unterstützung zur Verfügung stehen. Dabei sollen für Schüler*innen mit Behinderungen angemessene Vorkehrungen  gemäß der UN-Behindertenrechtskonvention  getroffen werden. </w:t>
      </w:r>
      <w:r>
        <w:rPr>
          <w:rFonts w:ascii="Arial Unicode MS" w:hAnsi="Arial Unicode MS"/>
          <w:sz w:val="20"/>
          <w:szCs w:val="20"/>
        </w:rPr>
        <w:br/>
      </w:r>
    </w:p>
    <w:p w:rsidR="00F132EE" w:rsidRDefault="00D32884">
      <w:pPr>
        <w:pStyle w:val="Listenabsatz"/>
        <w:numPr>
          <w:ilvl w:val="0"/>
          <w:numId w:val="2"/>
        </w:numPr>
        <w:rPr>
          <w:i/>
          <w:iCs/>
          <w:sz w:val="20"/>
          <w:szCs w:val="20"/>
        </w:rPr>
      </w:pPr>
      <w:r>
        <w:rPr>
          <w:i/>
          <w:iCs/>
          <w:sz w:val="20"/>
          <w:szCs w:val="20"/>
        </w:rPr>
        <w:t xml:space="preserve">Alle Schulen und ihre Unterstützungssysteme sollen personell und sächlich angemessen ausgestattet werden (siehe Forderungen des LRH SH 2017 und das Gutachten zum Stellenbedarf bei der Weiterentwicklung der  Inklusion in SH von Prof. Dr. Klemm). </w:t>
      </w:r>
      <w:r>
        <w:rPr>
          <w:i/>
          <w:iCs/>
          <w:color w:val="070707"/>
          <w:sz w:val="20"/>
          <w:szCs w:val="20"/>
          <w:u w:color="FF0000"/>
        </w:rPr>
        <w:t>Hierzu gehört insbesondere eine umfassende digitale Ausstattung, um digitale Kompetenzen zu fördern und damit eine digitale Teilhabe zu ermöglichen.</w:t>
      </w:r>
      <w:r>
        <w:rPr>
          <w:rFonts w:ascii="Arial Unicode MS" w:hAnsi="Arial Unicode MS"/>
          <w:color w:val="070707"/>
          <w:sz w:val="20"/>
          <w:szCs w:val="20"/>
        </w:rPr>
        <w:br/>
      </w:r>
    </w:p>
    <w:p w:rsidR="00F132EE" w:rsidRDefault="00D32884">
      <w:pPr>
        <w:pStyle w:val="Listenabsatz"/>
        <w:numPr>
          <w:ilvl w:val="0"/>
          <w:numId w:val="2"/>
        </w:numPr>
        <w:rPr>
          <w:b/>
          <w:bCs/>
          <w:sz w:val="20"/>
          <w:szCs w:val="20"/>
        </w:rPr>
      </w:pPr>
      <w:r>
        <w:rPr>
          <w:i/>
          <w:iCs/>
          <w:sz w:val="20"/>
          <w:szCs w:val="20"/>
        </w:rPr>
        <w:t>Die Förderschwerpunkte Lernen, Sprache und emotionale und soziale Entwicklung können zukünftig auf die amtliche Feststellung sonderpädagogischen Förderbedarfs verzichten. Stattdessen sollen Schüler*innen mit Unterstützungsbedarf in diesen drei Schwerpunkten über die sonderpädagogische Grundversorgung systemisch gefördert werden,  die sich</w:t>
      </w:r>
      <w:r>
        <w:rPr>
          <w:i/>
          <w:iCs/>
          <w:color w:val="FF0000"/>
          <w:sz w:val="20"/>
          <w:szCs w:val="20"/>
          <w:u w:color="FF0000"/>
        </w:rPr>
        <w:t xml:space="preserve"> </w:t>
      </w:r>
      <w:r>
        <w:rPr>
          <w:i/>
          <w:iCs/>
          <w:sz w:val="20"/>
          <w:szCs w:val="20"/>
        </w:rPr>
        <w:t>zudem an der Sozialstruktur der Schülerschaft ausrichten sollte. Alle Grundschulklassen sollen von den Förderzentren aus mit  mindestens 3 Wochenstunden einer Lehrkraft für Sonderpädagogik unterstützt werden.</w:t>
      </w:r>
    </w:p>
    <w:p w:rsidR="00F132EE" w:rsidRDefault="00F132EE">
      <w:pPr>
        <w:pStyle w:val="Listenabsatz"/>
        <w:rPr>
          <w:b/>
          <w:bCs/>
          <w:sz w:val="20"/>
          <w:szCs w:val="20"/>
        </w:rPr>
      </w:pPr>
    </w:p>
    <w:p w:rsidR="00F132EE" w:rsidRDefault="00D32884">
      <w:pPr>
        <w:pStyle w:val="Listenabsatz"/>
        <w:numPr>
          <w:ilvl w:val="0"/>
          <w:numId w:val="2"/>
        </w:numPr>
        <w:rPr>
          <w:i/>
          <w:iCs/>
          <w:sz w:val="20"/>
          <w:szCs w:val="20"/>
        </w:rPr>
      </w:pPr>
      <w:r>
        <w:rPr>
          <w:i/>
          <w:iCs/>
          <w:sz w:val="20"/>
          <w:szCs w:val="20"/>
        </w:rPr>
        <w:t>Förderzentren L, S und E sollen weiterhin die sonderpädagogische Unterstützung in ihrem Einzugsbereich koordinieren und personell unterstützen auch und gerade,  wenn sie  keine eigenen Schüler mehr haben.</w:t>
      </w:r>
      <w:r>
        <w:rPr>
          <w:rFonts w:ascii="Arial Unicode MS" w:hAnsi="Arial Unicode MS"/>
          <w:sz w:val="20"/>
          <w:szCs w:val="20"/>
        </w:rPr>
        <w:br/>
      </w:r>
    </w:p>
    <w:p w:rsidR="00F132EE" w:rsidRDefault="00D32884">
      <w:pPr>
        <w:pStyle w:val="Listenabsatz"/>
        <w:numPr>
          <w:ilvl w:val="0"/>
          <w:numId w:val="2"/>
        </w:numPr>
        <w:rPr>
          <w:i/>
          <w:iCs/>
          <w:sz w:val="20"/>
          <w:szCs w:val="20"/>
        </w:rPr>
      </w:pPr>
      <w:r>
        <w:rPr>
          <w:i/>
          <w:iCs/>
          <w:sz w:val="20"/>
          <w:szCs w:val="20"/>
        </w:rPr>
        <w:t>Für Schüler*innen mit dem Förderschwerpunkt Geistige Entwicklung sollen die Förderzentren vermehrt  inklusive Konzepte erproben und  umsetzen, wie z.B. Campuslösungen.</w:t>
      </w:r>
    </w:p>
    <w:p w:rsidR="00F132EE" w:rsidRDefault="00F132EE">
      <w:pPr>
        <w:pStyle w:val="Listenabsatz"/>
        <w:rPr>
          <w:i/>
          <w:iCs/>
          <w:sz w:val="20"/>
          <w:szCs w:val="20"/>
        </w:rPr>
      </w:pPr>
    </w:p>
    <w:p w:rsidR="00F132EE" w:rsidRDefault="00D32884">
      <w:pPr>
        <w:pStyle w:val="Listenabsatz"/>
        <w:numPr>
          <w:ilvl w:val="0"/>
          <w:numId w:val="2"/>
        </w:numPr>
        <w:rPr>
          <w:i/>
          <w:iCs/>
          <w:sz w:val="20"/>
          <w:szCs w:val="20"/>
        </w:rPr>
      </w:pPr>
      <w:r>
        <w:rPr>
          <w:i/>
          <w:iCs/>
          <w:sz w:val="20"/>
          <w:szCs w:val="20"/>
        </w:rPr>
        <w:t>Schüler*innen mit Unterstützungsbedarf  in den speziellen Schwerpunkten (Sehen, Hören, Körperliche und motorische Entwicklung, Autismus, Kranke)  werden in den inklusiven Schulen durch die Landes- bzw. überregionale</w:t>
      </w:r>
      <w:r w:rsidR="002E01E9">
        <w:rPr>
          <w:i/>
          <w:iCs/>
          <w:sz w:val="20"/>
          <w:szCs w:val="20"/>
        </w:rPr>
        <w:t>n</w:t>
      </w:r>
      <w:r>
        <w:rPr>
          <w:i/>
          <w:iCs/>
          <w:sz w:val="20"/>
          <w:szCs w:val="20"/>
        </w:rPr>
        <w:t xml:space="preserve"> Förderzentren unterstützt.</w:t>
      </w:r>
      <w:r>
        <w:rPr>
          <w:rFonts w:ascii="Arial Unicode MS" w:hAnsi="Arial Unicode MS"/>
          <w:sz w:val="20"/>
          <w:szCs w:val="20"/>
        </w:rPr>
        <w:br/>
      </w:r>
    </w:p>
    <w:p w:rsidR="00F132EE" w:rsidRDefault="00D32884">
      <w:pPr>
        <w:pStyle w:val="Listenabsatz"/>
        <w:numPr>
          <w:ilvl w:val="0"/>
          <w:numId w:val="2"/>
        </w:numPr>
        <w:rPr>
          <w:i/>
          <w:iCs/>
          <w:sz w:val="20"/>
          <w:szCs w:val="20"/>
        </w:rPr>
      </w:pPr>
      <w:r>
        <w:rPr>
          <w:i/>
          <w:iCs/>
          <w:sz w:val="20"/>
          <w:szCs w:val="20"/>
        </w:rPr>
        <w:t>Darüber hinaus sind besondere Beratungs- und Unterstützungsangebote an den Übergängen KiTa/Schule und Schule/Berufsbildung erforderlich, diese müssen weiter ausgebaut werden.</w:t>
      </w:r>
      <w:r>
        <w:rPr>
          <w:rFonts w:ascii="Arial Unicode MS" w:hAnsi="Arial Unicode MS"/>
          <w:sz w:val="20"/>
          <w:szCs w:val="20"/>
        </w:rPr>
        <w:br/>
      </w:r>
    </w:p>
    <w:p w:rsidR="00F132EE" w:rsidRDefault="00D32884">
      <w:pPr>
        <w:pStyle w:val="Listenabsatz"/>
        <w:numPr>
          <w:ilvl w:val="0"/>
          <w:numId w:val="2"/>
        </w:numPr>
        <w:rPr>
          <w:i/>
          <w:iCs/>
          <w:sz w:val="20"/>
          <w:szCs w:val="20"/>
        </w:rPr>
      </w:pPr>
      <w:r>
        <w:rPr>
          <w:i/>
          <w:iCs/>
          <w:sz w:val="20"/>
          <w:szCs w:val="20"/>
        </w:rPr>
        <w:t xml:space="preserve">Grundschulen nehmen alle Schüler*innen mit Unterstützungsbedarf auf und werden durch Förderzentren unterstützt. Die Vorgängerregierung hat allen Grundschulen eine Schulassistenz ermöglicht, die zwei Präventionsstunden je Eingangsphasenklasse durch Lehrkräfte der Förderzentren sollten schrittweise ausgeweitet werden auf drei bis vier Stunden sowie auf die 3. und 4. Jahrgangsstufe. </w:t>
      </w:r>
      <w:r>
        <w:rPr>
          <w:rFonts w:ascii="Arial Unicode MS" w:hAnsi="Arial Unicode MS"/>
          <w:sz w:val="20"/>
          <w:szCs w:val="20"/>
        </w:rPr>
        <w:br/>
      </w:r>
    </w:p>
    <w:p w:rsidR="00F132EE" w:rsidRDefault="00D32884">
      <w:pPr>
        <w:pStyle w:val="Listenabsatz"/>
        <w:numPr>
          <w:ilvl w:val="0"/>
          <w:numId w:val="2"/>
        </w:numPr>
        <w:rPr>
          <w:i/>
          <w:iCs/>
          <w:sz w:val="20"/>
          <w:szCs w:val="20"/>
        </w:rPr>
      </w:pPr>
      <w:r>
        <w:rPr>
          <w:i/>
          <w:iCs/>
          <w:sz w:val="20"/>
          <w:szCs w:val="20"/>
        </w:rPr>
        <w:t xml:space="preserve">Gemeinschaftsschulen sind entsprechend besonders zu unterstützen, denn Sie nehmen 95% Schüler*innen mit sonderpädagogischem Förderbedarf in der Sekundarstufe auf. </w:t>
      </w:r>
      <w:r>
        <w:rPr>
          <w:rFonts w:ascii="Arial Unicode MS" w:hAnsi="Arial Unicode MS"/>
          <w:sz w:val="20"/>
          <w:szCs w:val="20"/>
        </w:rPr>
        <w:br/>
      </w:r>
    </w:p>
    <w:p w:rsidR="00F132EE" w:rsidRDefault="00D32884">
      <w:pPr>
        <w:pStyle w:val="Listenabsatz"/>
        <w:numPr>
          <w:ilvl w:val="0"/>
          <w:numId w:val="2"/>
        </w:numPr>
        <w:rPr>
          <w:i/>
          <w:iCs/>
          <w:sz w:val="20"/>
          <w:szCs w:val="20"/>
        </w:rPr>
      </w:pPr>
      <w:r>
        <w:rPr>
          <w:i/>
          <w:iCs/>
          <w:sz w:val="20"/>
          <w:szCs w:val="20"/>
        </w:rPr>
        <w:t>In den kommenden Jahren sind die inklusiven Strukturen in der Beruflichen Bildung auszubauen sowie zusammen mit der Bundesagentur für Arbeit die Übergangsbegleitung in den Beruf festzuschreiben. Dort gilt es wiederum, inklusive Arbeitsmöglichkeiten zu entwickeln und Behindertenverbände sowie die Werkstätten für behinderte Menschen daran zu beteiligen. Siehe hierzu auch unseren Antrag bei der Bundesarbeitsgemeinschaft der AfB.</w:t>
      </w:r>
      <w:r>
        <w:rPr>
          <w:rFonts w:ascii="Arial Unicode MS" w:hAnsi="Arial Unicode MS"/>
          <w:sz w:val="20"/>
          <w:szCs w:val="20"/>
        </w:rPr>
        <w:br/>
      </w:r>
    </w:p>
    <w:p w:rsidR="00F132EE" w:rsidRDefault="00D32884">
      <w:pPr>
        <w:pStyle w:val="Listenabsatz"/>
        <w:numPr>
          <w:ilvl w:val="0"/>
          <w:numId w:val="2"/>
        </w:numPr>
        <w:rPr>
          <w:color w:val="131313"/>
          <w:sz w:val="20"/>
          <w:szCs w:val="20"/>
        </w:rPr>
      </w:pPr>
      <w:r>
        <w:rPr>
          <w:i/>
          <w:iCs/>
          <w:sz w:val="20"/>
          <w:szCs w:val="20"/>
        </w:rPr>
        <w:t xml:space="preserve">Weitere quantitative und qualitative Verbesserungen in der inklusiven Lehrerbildung und der Fortbildung von Unterstützungskräften sind vom IQSH in enger Kooperation mit </w:t>
      </w:r>
      <w:r>
        <w:rPr>
          <w:i/>
          <w:iCs/>
          <w:color w:val="131313"/>
          <w:sz w:val="20"/>
          <w:szCs w:val="20"/>
        </w:rPr>
        <w:t xml:space="preserve"> </w:t>
      </w:r>
      <w:r>
        <w:rPr>
          <w:i/>
          <w:iCs/>
          <w:color w:val="131313"/>
          <w:sz w:val="20"/>
          <w:szCs w:val="20"/>
          <w:u w:color="FF0000"/>
        </w:rPr>
        <w:t xml:space="preserve">Europa-Universität </w:t>
      </w:r>
      <w:r>
        <w:rPr>
          <w:i/>
          <w:iCs/>
          <w:color w:val="131313"/>
          <w:sz w:val="20"/>
          <w:szCs w:val="20"/>
        </w:rPr>
        <w:t>Flensburg und der Uni</w:t>
      </w:r>
      <w:r>
        <w:rPr>
          <w:i/>
          <w:iCs/>
          <w:color w:val="131313"/>
          <w:sz w:val="20"/>
          <w:szCs w:val="20"/>
          <w:u w:color="FF0000"/>
        </w:rPr>
        <w:t>versität</w:t>
      </w:r>
      <w:r>
        <w:rPr>
          <w:i/>
          <w:iCs/>
          <w:color w:val="131313"/>
          <w:sz w:val="20"/>
          <w:szCs w:val="20"/>
        </w:rPr>
        <w:t xml:space="preserve"> Kiel zu konzipieren und unter Berücksichtigung der Ergebnisse der Evaluation der Qualitätsoffensive anzubieten</w:t>
      </w:r>
      <w:r>
        <w:rPr>
          <w:color w:val="131313"/>
          <w:sz w:val="20"/>
          <w:szCs w:val="20"/>
        </w:rPr>
        <w:t>.</w:t>
      </w:r>
    </w:p>
    <w:p w:rsidR="00F132EE" w:rsidRDefault="00F132EE">
      <w:pPr>
        <w:pStyle w:val="Listenabsatz"/>
        <w:rPr>
          <w:sz w:val="20"/>
          <w:szCs w:val="20"/>
        </w:rPr>
      </w:pPr>
    </w:p>
    <w:p w:rsidR="00F132EE" w:rsidRDefault="00D32884">
      <w:pPr>
        <w:pStyle w:val="Listenabsatz"/>
        <w:numPr>
          <w:ilvl w:val="0"/>
          <w:numId w:val="2"/>
        </w:numPr>
        <w:rPr>
          <w:i/>
          <w:iCs/>
          <w:color w:val="010101"/>
          <w:sz w:val="20"/>
          <w:szCs w:val="20"/>
        </w:rPr>
      </w:pPr>
      <w:r>
        <w:rPr>
          <w:i/>
          <w:iCs/>
          <w:color w:val="010101"/>
          <w:sz w:val="20"/>
          <w:szCs w:val="20"/>
          <w:u w:color="FF0000"/>
        </w:rPr>
        <w:t xml:space="preserve">Um die Möglichkeiten digitaler Medien für die Inklusion ausschöpfen zu können bedarf es einer umfassenden Ausstattung für Förderzentren (s.o.) sowie eine schulentwicklungsorientierte Fortbildung auf Schulleitungs- wie Lehrkräfteebene durch das </w:t>
      </w:r>
      <w:r>
        <w:rPr>
          <w:i/>
          <w:iCs/>
          <w:color w:val="010101"/>
          <w:sz w:val="20"/>
          <w:szCs w:val="20"/>
          <w:u w:color="FF0000"/>
        </w:rPr>
        <w:lastRenderedPageBreak/>
        <w:t xml:space="preserve">IQSH. Hierfür sollten Ressourcen für weitere Zertifikatskurse und längerfristig angelegte praxisorientierte Fortbildungsangebote bereitgestellt werden, sowie weitere Konzepte wie bspw. die Unterstützung der Lehrkräfte durch vom IQSH medial geschulte </w:t>
      </w:r>
      <w:proofErr w:type="spellStart"/>
      <w:r>
        <w:rPr>
          <w:i/>
          <w:iCs/>
          <w:color w:val="010101"/>
          <w:sz w:val="20"/>
          <w:szCs w:val="20"/>
          <w:u w:color="FF0000"/>
        </w:rPr>
        <w:t>BufDis</w:t>
      </w:r>
      <w:proofErr w:type="spellEnd"/>
      <w:r>
        <w:rPr>
          <w:i/>
          <w:iCs/>
          <w:color w:val="010101"/>
          <w:sz w:val="20"/>
          <w:szCs w:val="20"/>
          <w:u w:color="FF0000"/>
        </w:rPr>
        <w:t>, die die Lehrkräfte beim Einsatz digitaler Medien in Schulen unterstützen, erprobt werden. Eine zukunftsfähige Lehrkräftebildung muss digital-inklusive Schwerpunkte setzen.</w:t>
      </w:r>
      <w:r>
        <w:rPr>
          <w:rFonts w:ascii="Arial Unicode MS" w:hAnsi="Arial Unicode MS"/>
          <w:color w:val="010101"/>
          <w:sz w:val="20"/>
          <w:szCs w:val="20"/>
        </w:rPr>
        <w:br/>
      </w:r>
    </w:p>
    <w:p w:rsidR="00F132EE" w:rsidRDefault="00D32884">
      <w:pPr>
        <w:pStyle w:val="Listenabsatz"/>
        <w:numPr>
          <w:ilvl w:val="0"/>
          <w:numId w:val="2"/>
        </w:numPr>
        <w:rPr>
          <w:sz w:val="20"/>
          <w:szCs w:val="20"/>
        </w:rPr>
      </w:pPr>
      <w:r>
        <w:rPr>
          <w:i/>
          <w:iCs/>
          <w:sz w:val="20"/>
          <w:szCs w:val="20"/>
        </w:rPr>
        <w:t xml:space="preserve">Und schließlich ist die Entwicklung in SH so weit fortgeschritten, dass </w:t>
      </w:r>
      <w:r>
        <w:rPr>
          <w:i/>
          <w:iCs/>
          <w:sz w:val="20"/>
          <w:szCs w:val="20"/>
          <w:u w:val="single"/>
        </w:rPr>
        <w:t xml:space="preserve">alle </w:t>
      </w:r>
      <w:proofErr w:type="spellStart"/>
      <w:r>
        <w:rPr>
          <w:i/>
          <w:iCs/>
          <w:sz w:val="20"/>
          <w:szCs w:val="20"/>
        </w:rPr>
        <w:t>KiTas</w:t>
      </w:r>
      <w:proofErr w:type="spellEnd"/>
      <w:r>
        <w:rPr>
          <w:i/>
          <w:iCs/>
          <w:sz w:val="20"/>
          <w:szCs w:val="20"/>
        </w:rPr>
        <w:t xml:space="preserve"> und Schulen beteiligt sind. Das sind, zusammen mit der avisierten finanziellen Aufstockung gute Voraussetzungen, dass nunmehr zusammen mit den Betroffenen, mit  kommunalen Stellen und der Zivilgesellschaft Konzepte und Projekte  für </w:t>
      </w:r>
      <w:r>
        <w:rPr>
          <w:b/>
          <w:bCs/>
          <w:i/>
          <w:iCs/>
          <w:sz w:val="20"/>
          <w:szCs w:val="20"/>
        </w:rPr>
        <w:t xml:space="preserve">inklusive Landschaften </w:t>
      </w:r>
      <w:r>
        <w:rPr>
          <w:i/>
          <w:iCs/>
          <w:sz w:val="20"/>
          <w:szCs w:val="20"/>
        </w:rPr>
        <w:t xml:space="preserve"> entwickelt und Schritt für Schritt umgesetzt werden können. Ziel ist eine digital-inklusive Bildung. Die Bundesregierung sollte ein Inklusions- Programm auflegen, ähnlich wie das IZBB Programm.</w:t>
      </w:r>
      <w:r>
        <w:rPr>
          <w:rFonts w:ascii="Arial Unicode MS" w:hAnsi="Arial Unicode MS"/>
          <w:sz w:val="20"/>
          <w:szCs w:val="20"/>
        </w:rPr>
        <w:br/>
      </w:r>
    </w:p>
    <w:p w:rsidR="00F132EE" w:rsidRDefault="00D32884">
      <w:pPr>
        <w:spacing w:after="0" w:line="240" w:lineRule="auto"/>
        <w:rPr>
          <w:rFonts w:ascii="Arial" w:eastAsia="Arial" w:hAnsi="Arial" w:cs="Arial"/>
          <w:b/>
          <w:bCs/>
          <w:sz w:val="20"/>
          <w:szCs w:val="20"/>
        </w:rPr>
      </w:pPr>
      <w:r>
        <w:rPr>
          <w:rFonts w:ascii="Arial" w:hAnsi="Arial"/>
          <w:b/>
          <w:bCs/>
          <w:sz w:val="20"/>
          <w:szCs w:val="20"/>
        </w:rPr>
        <w:t>Begründung</w:t>
      </w:r>
      <w:r>
        <w:rPr>
          <w:rFonts w:ascii="Arial" w:hAnsi="Arial"/>
          <w:sz w:val="20"/>
          <w:szCs w:val="20"/>
        </w:rPr>
        <w:t xml:space="preserve"> </w:t>
      </w:r>
    </w:p>
    <w:p w:rsidR="00F132EE" w:rsidRDefault="00D32884">
      <w:pPr>
        <w:rPr>
          <w:rFonts w:ascii="Arial" w:eastAsia="Arial" w:hAnsi="Arial" w:cs="Arial"/>
        </w:rPr>
      </w:pPr>
      <w:r>
        <w:rPr>
          <w:rFonts w:ascii="Arial" w:hAnsi="Arial"/>
          <w:sz w:val="20"/>
          <w:szCs w:val="20"/>
        </w:rPr>
        <w:t xml:space="preserve">Anlass für den Antrag sind die Ergebnisse des Gesprächskreises Inklusive Bildung der AfB sowie der Inklusionsbericht des LRH SH vom November 2017. Die AfB legt eine Reihe von Entwicklungszielen für SH vor, die als Orientierung bei politischen Weichenstellungen dienen können. </w:t>
      </w:r>
      <w:r>
        <w:rPr>
          <w:rFonts w:ascii="Arial" w:hAnsi="Arial"/>
        </w:rPr>
        <w:t>Sie werden Gegenstand kommender bildungspolitischer Veranstaltungen der AfB SH sein, am 22.09.2018 mit der Bildungskonferenz der LTF sowie im Februar 2019 mit der SPD Mitgliederversammlung. </w:t>
      </w:r>
    </w:p>
    <w:p w:rsidR="00F132EE" w:rsidRDefault="00F132EE">
      <w:pPr>
        <w:rPr>
          <w:rFonts w:ascii="Arial" w:eastAsia="Arial" w:hAnsi="Arial" w:cs="Arial"/>
          <w:sz w:val="20"/>
          <w:szCs w:val="20"/>
          <w:u w:val="single"/>
        </w:rPr>
      </w:pPr>
    </w:p>
    <w:p w:rsidR="00F132EE" w:rsidRDefault="00D32884">
      <w:pPr>
        <w:rPr>
          <w:rFonts w:ascii="Arial" w:eastAsia="Arial" w:hAnsi="Arial" w:cs="Arial"/>
          <w:b/>
          <w:bCs/>
          <w:sz w:val="20"/>
          <w:szCs w:val="20"/>
        </w:rPr>
      </w:pPr>
      <w:r>
        <w:rPr>
          <w:rFonts w:ascii="Arial" w:hAnsi="Arial"/>
          <w:sz w:val="20"/>
          <w:szCs w:val="20"/>
          <w:u w:val="single"/>
        </w:rPr>
        <w:t>Anhang z.K.</w:t>
      </w:r>
      <w:r>
        <w:rPr>
          <w:rFonts w:ascii="Arial Unicode MS" w:eastAsia="Arial Unicode MS" w:hAnsi="Arial Unicode MS" w:cs="Arial Unicode MS"/>
          <w:sz w:val="20"/>
          <w:szCs w:val="20"/>
          <w:u w:val="single"/>
        </w:rPr>
        <w:br/>
      </w:r>
      <w:r>
        <w:rPr>
          <w:rFonts w:ascii="Arial" w:hAnsi="Arial"/>
          <w:b/>
          <w:bCs/>
          <w:sz w:val="20"/>
          <w:szCs w:val="20"/>
        </w:rPr>
        <w:t>Gegenwärtiger Stand (2018) der schulischen Inklusionsentwicklung in SH und Perspektiven aus der Sicht der AfB</w:t>
      </w:r>
    </w:p>
    <w:p w:rsidR="00F132EE" w:rsidRDefault="00D32884">
      <w:pPr>
        <w:tabs>
          <w:tab w:val="left" w:pos="5103"/>
          <w:tab w:val="left" w:pos="6237"/>
        </w:tabs>
        <w:rPr>
          <w:rFonts w:ascii="Arial" w:eastAsia="Arial" w:hAnsi="Arial" w:cs="Arial"/>
          <w:sz w:val="16"/>
          <w:szCs w:val="16"/>
        </w:rPr>
      </w:pPr>
      <w:r>
        <w:rPr>
          <w:rFonts w:ascii="Arial" w:hAnsi="Arial"/>
          <w:sz w:val="20"/>
          <w:szCs w:val="20"/>
        </w:rPr>
        <w:t xml:space="preserve">Seit 1990 steht der Auftrag im Schulgesetz, Schüler*innen mit und ohne Behinderungen gemeinsam zu unterrichten. Im Schuljahr 2016/2017 besuchen über 10.000  oder  mehr als 2/3 aller Schüler*innen mit </w:t>
      </w:r>
      <w:proofErr w:type="spellStart"/>
      <w:r>
        <w:rPr>
          <w:rFonts w:ascii="Arial" w:hAnsi="Arial"/>
          <w:sz w:val="20"/>
          <w:szCs w:val="20"/>
        </w:rPr>
        <w:t>spFB</w:t>
      </w:r>
      <w:proofErr w:type="spellEnd"/>
      <w:r>
        <w:rPr>
          <w:rFonts w:ascii="Arial" w:hAnsi="Arial"/>
          <w:sz w:val="20"/>
          <w:szCs w:val="20"/>
        </w:rPr>
        <w:t xml:space="preserve">,  allgemeine Schulen, darüber hinaus gibt es  rd. 5.000 Schüler*innen in Förderzentren, darunter rd. 3.000 in Förderzentren Geistige Entwicklung. </w:t>
      </w:r>
      <w:r>
        <w:rPr>
          <w:rFonts w:ascii="Arial Unicode MS" w:eastAsia="Arial Unicode MS" w:hAnsi="Arial Unicode MS" w:cs="Arial Unicode MS"/>
          <w:sz w:val="20"/>
          <w:szCs w:val="20"/>
        </w:rPr>
        <w:br/>
      </w:r>
      <w:r>
        <w:rPr>
          <w:rFonts w:ascii="Arial Unicode MS" w:eastAsia="Arial Unicode MS" w:hAnsi="Arial Unicode MS" w:cs="Arial Unicode MS"/>
          <w:sz w:val="20"/>
          <w:szCs w:val="20"/>
        </w:rPr>
        <w:br/>
      </w:r>
      <w:r>
        <w:rPr>
          <w:rFonts w:ascii="Arial" w:hAnsi="Arial"/>
          <w:b/>
          <w:bCs/>
          <w:sz w:val="16"/>
          <w:szCs w:val="16"/>
        </w:rPr>
        <w:t xml:space="preserve">SH,  Schüler*innen mit sonderpädagogischen Förderbedarf,  darunter in  Förderschulen (rot) und in allgemein bildenden Schulen (blau). Alle Förderschwerpunkte. Öffentliche und private Schulen. KMK Daten, eigene Darstellung </w:t>
      </w:r>
      <w:r>
        <w:rPr>
          <w:rFonts w:ascii="Arial" w:hAnsi="Arial"/>
          <w:sz w:val="16"/>
          <w:szCs w:val="16"/>
        </w:rPr>
        <w:t xml:space="preserve">     </w:t>
      </w:r>
    </w:p>
    <w:p w:rsidR="00F132EE" w:rsidRDefault="00D32884">
      <w:pPr>
        <w:tabs>
          <w:tab w:val="left" w:pos="5103"/>
          <w:tab w:val="left" w:pos="6237"/>
        </w:tabs>
        <w:rPr>
          <w:rFonts w:ascii="Arial" w:eastAsia="Arial" w:hAnsi="Arial" w:cs="Arial"/>
          <w:sz w:val="20"/>
          <w:szCs w:val="20"/>
        </w:rPr>
      </w:pPr>
      <w:r>
        <w:rPr>
          <w:noProof/>
        </w:rPr>
        <w:drawing>
          <wp:inline distT="0" distB="0" distL="0" distR="0">
            <wp:extent cx="5531757" cy="2024530"/>
            <wp:effectExtent l="0" t="0" r="0" b="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Arial" w:hAnsi="Arial"/>
          <w:sz w:val="20"/>
          <w:szCs w:val="20"/>
        </w:rPr>
        <w:t xml:space="preserve">  </w:t>
      </w:r>
    </w:p>
    <w:p w:rsidR="00F132EE" w:rsidRDefault="00D32884">
      <w:pPr>
        <w:tabs>
          <w:tab w:val="left" w:pos="5103"/>
          <w:tab w:val="left" w:pos="6237"/>
        </w:tabs>
        <w:rPr>
          <w:rFonts w:ascii="Arial" w:eastAsia="Arial" w:hAnsi="Arial" w:cs="Arial"/>
          <w:sz w:val="20"/>
          <w:szCs w:val="20"/>
        </w:rPr>
      </w:pPr>
      <w:r>
        <w:rPr>
          <w:rFonts w:ascii="Arial" w:hAnsi="Arial"/>
          <w:sz w:val="20"/>
          <w:szCs w:val="20"/>
        </w:rPr>
        <w:t xml:space="preserve">                                      </w:t>
      </w:r>
    </w:p>
    <w:p w:rsidR="00F132EE" w:rsidRDefault="00D32884">
      <w:pPr>
        <w:spacing w:after="0" w:line="240" w:lineRule="auto"/>
        <w:rPr>
          <w:rFonts w:ascii="Arial" w:eastAsia="Arial" w:hAnsi="Arial" w:cs="Arial"/>
          <w:sz w:val="20"/>
          <w:szCs w:val="20"/>
        </w:rPr>
      </w:pPr>
      <w:r>
        <w:rPr>
          <w:rFonts w:ascii="Arial" w:hAnsi="Arial"/>
          <w:sz w:val="20"/>
          <w:szCs w:val="20"/>
        </w:rPr>
        <w:t xml:space="preserve">Im Einzelnen: Im Jahr 2016 besuchten in Schleswig-Holstein  5.443 Schüler*innen Förderschulen und  11.220 mit sonderpädagogischem Förderbedarf den gemeinsamen Unterricht in allgemein bildenden Schulen. Insgesamt wurden 6,44 % aller Schüler*innen des 1. bis 10. Jg. aller Schularten sonderpädagogisch gefördert, davon 4,34 % in allgemeinbildenden Schulen und 2,10 % in Förderschulen. Anders gesagt, von jeweils 100 Schüler*innen werden vier in allgemein bildenden Schularten und zwei in Förderschulen sonderpädagogisch gefördert. Jährlich steigt die Zahl der Schüler*innen mit </w:t>
      </w:r>
      <w:proofErr w:type="spellStart"/>
      <w:r>
        <w:rPr>
          <w:rFonts w:ascii="Arial" w:hAnsi="Arial"/>
          <w:sz w:val="20"/>
          <w:szCs w:val="20"/>
        </w:rPr>
        <w:t>spFB</w:t>
      </w:r>
      <w:proofErr w:type="spellEnd"/>
      <w:r>
        <w:rPr>
          <w:rFonts w:ascii="Arial" w:hAnsi="Arial"/>
          <w:sz w:val="20"/>
          <w:szCs w:val="20"/>
        </w:rPr>
        <w:t xml:space="preserve"> in den allgemein bildenden Schulen und die Zahl der Schüler*innen in den </w:t>
      </w:r>
      <w:r>
        <w:rPr>
          <w:rFonts w:ascii="Arial" w:hAnsi="Arial"/>
          <w:sz w:val="20"/>
          <w:szCs w:val="20"/>
        </w:rPr>
        <w:lastRenderedPageBreak/>
        <w:t xml:space="preserve">Förderschulen sinkt entsprechend. Im Jahr 2010 haben sich die rote und die blaue Linie gekreuzt. Zu dem Zeitpunkt waren jeweils 50 % der Schüler*innen mit </w:t>
      </w:r>
      <w:proofErr w:type="spellStart"/>
      <w:r>
        <w:rPr>
          <w:rFonts w:ascii="Arial" w:hAnsi="Arial"/>
          <w:sz w:val="20"/>
          <w:szCs w:val="20"/>
        </w:rPr>
        <w:t>spFB</w:t>
      </w:r>
      <w:proofErr w:type="spellEnd"/>
      <w:r>
        <w:rPr>
          <w:rFonts w:ascii="Arial" w:hAnsi="Arial"/>
          <w:sz w:val="20"/>
          <w:szCs w:val="20"/>
        </w:rPr>
        <w:t xml:space="preserve"> in Förderschulen und in allgemeinbildenden Schulen. Inzwischen geht diese Entwicklung kontinuierlich weiter.</w:t>
      </w:r>
    </w:p>
    <w:p w:rsidR="00F132EE" w:rsidRDefault="00F132EE">
      <w:pPr>
        <w:spacing w:after="0" w:line="240" w:lineRule="auto"/>
        <w:rPr>
          <w:rFonts w:ascii="Arial" w:eastAsia="Arial" w:hAnsi="Arial" w:cs="Arial"/>
          <w:sz w:val="20"/>
          <w:szCs w:val="20"/>
        </w:rPr>
      </w:pPr>
    </w:p>
    <w:p w:rsidR="00F132EE" w:rsidRDefault="00D32884">
      <w:pPr>
        <w:rPr>
          <w:rFonts w:ascii="Arial" w:eastAsia="Arial" w:hAnsi="Arial" w:cs="Arial"/>
          <w:sz w:val="20"/>
          <w:szCs w:val="20"/>
        </w:rPr>
      </w:pPr>
      <w:r>
        <w:rPr>
          <w:rFonts w:ascii="Arial" w:hAnsi="Arial"/>
          <w:sz w:val="20"/>
          <w:szCs w:val="20"/>
        </w:rPr>
        <w:t>Aktuell hat es bei der Entwicklung der schulischen Inklusion in den Ländern viel Unmut gegeben. Die überregionalen Medien berichteten darüber immer wieder. Lehrkräfte fühlten sich überfordert von der „überstürzt eingeführten“ Inklusion.  Es fehlten Ressourcen und Aus- und Fortbildung. Inklusion wurde Thema beim Wahlkampf in NRW, in SH weniger, wenngleich auch hier die Bedingungen verbessert werden müssen. Die obige Grafik zeigt, dass in SH jährlich seit vielen Jahren nur moderate aber kontinuierliche Veränderungen erfolgen, keine steilen Anstiege, die die Gefahr in sich tragen, dass zu heftige Veränderungen zu Unmut und Ärger bei Betroffenen und der Öffentlichkeit führen können. Wichtig ist für die SPD, den Unmut aufzugreifen, mit Beteiligten zu diskutieren und so wieder weitere vernünftige Lösungen für die Fortentwicklung der inklusiven Bildung zu erarbeiten.</w:t>
      </w:r>
    </w:p>
    <w:p w:rsidR="00F132EE" w:rsidRDefault="00D32884">
      <w:pPr>
        <w:rPr>
          <w:rFonts w:ascii="Arial" w:eastAsia="Arial" w:hAnsi="Arial" w:cs="Arial"/>
          <w:sz w:val="20"/>
          <w:szCs w:val="20"/>
        </w:rPr>
      </w:pPr>
      <w:r>
        <w:rPr>
          <w:rFonts w:ascii="Arial" w:hAnsi="Arial"/>
          <w:sz w:val="20"/>
          <w:szCs w:val="20"/>
        </w:rPr>
        <w:t xml:space="preserve">Insbesondere im Bereich der sog. sonderpädagogischen Grundversorgung bei den Förderschwerpunkten Lernen, Sprache und emotionale und soziale Entwicklung stehen Weiterentwicklungen an. In mehreren Bundesländern wird  darauf hin gearbeitet, bei diesen Schüler*innen keinen Sonderpädagogischen Förderbedarf mehr förmlich festzustellen und damit eine Stigmatisierung zu vermeiden. In SH wäre dies möglich, weil die Personalversorgung seit vielen Jahren von der Feststellung sonderpädagogischen Förderbedarfs entkoppelt ist. </w:t>
      </w:r>
    </w:p>
    <w:p w:rsidR="00474E6E" w:rsidRDefault="00D32884">
      <w:pPr>
        <w:rPr>
          <w:rFonts w:ascii="Arial" w:hAnsi="Arial"/>
          <w:b/>
          <w:bCs/>
          <w:sz w:val="16"/>
          <w:szCs w:val="16"/>
        </w:rPr>
      </w:pPr>
      <w:r>
        <w:rPr>
          <w:rFonts w:ascii="Arial" w:hAnsi="Arial"/>
          <w:b/>
          <w:bCs/>
          <w:sz w:val="16"/>
          <w:szCs w:val="16"/>
        </w:rPr>
        <w:t xml:space="preserve">Quote der Schüler*innen mit </w:t>
      </w:r>
      <w:proofErr w:type="spellStart"/>
      <w:r>
        <w:rPr>
          <w:rFonts w:ascii="Arial" w:hAnsi="Arial"/>
          <w:b/>
          <w:bCs/>
          <w:sz w:val="16"/>
          <w:szCs w:val="16"/>
        </w:rPr>
        <w:t>spFB</w:t>
      </w:r>
      <w:proofErr w:type="spellEnd"/>
      <w:r>
        <w:rPr>
          <w:rFonts w:ascii="Arial" w:hAnsi="Arial"/>
          <w:b/>
          <w:bCs/>
          <w:sz w:val="16"/>
          <w:szCs w:val="16"/>
        </w:rPr>
        <w:t xml:space="preserve"> in den Förderschwerpunkten L, S und E an allen Schüler*innen des 1. bis 10 Jg. aller Schularten, darunter Förderschulbesuchsquote (rot) und Integrationsquote (blau) sortiert nach Förderschulbesuchsquoten.  2016. Eigene Darstellung</w:t>
      </w:r>
    </w:p>
    <w:p w:rsidR="00F132EE" w:rsidRDefault="00D32884">
      <w:pPr>
        <w:rPr>
          <w:rFonts w:ascii="Arial" w:eastAsia="Arial" w:hAnsi="Arial" w:cs="Arial"/>
          <w:sz w:val="20"/>
          <w:szCs w:val="20"/>
        </w:rPr>
      </w:pPr>
      <w:r>
        <w:rPr>
          <w:noProof/>
        </w:rPr>
        <w:drawing>
          <wp:inline distT="0" distB="0" distL="0" distR="0">
            <wp:extent cx="5810250" cy="3228975"/>
            <wp:effectExtent l="0" t="0" r="19050" b="9525"/>
            <wp:docPr id="107374182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5849" w:rsidRDefault="00905849">
      <w:pPr>
        <w:rPr>
          <w:rFonts w:ascii="Arial" w:eastAsia="Arial" w:hAnsi="Arial" w:cs="Arial"/>
          <w:sz w:val="20"/>
          <w:szCs w:val="20"/>
        </w:rPr>
      </w:pPr>
    </w:p>
    <w:p w:rsidR="00F132EE" w:rsidRDefault="00D32884">
      <w:pPr>
        <w:rPr>
          <w:rFonts w:ascii="Arial" w:eastAsia="Arial" w:hAnsi="Arial" w:cs="Arial"/>
          <w:sz w:val="20"/>
          <w:szCs w:val="20"/>
        </w:rPr>
      </w:pPr>
      <w:r>
        <w:rPr>
          <w:rFonts w:ascii="Arial" w:hAnsi="Arial"/>
          <w:sz w:val="20"/>
          <w:szCs w:val="20"/>
        </w:rPr>
        <w:t>In Berlin, Schleswig-Holstein, Hessen und Rheinland-Pfalz haben weniger als 4 %  aller Schü</w:t>
      </w:r>
      <w:r w:rsidR="002E01E9">
        <w:rPr>
          <w:rFonts w:ascii="Arial" w:hAnsi="Arial"/>
          <w:sz w:val="20"/>
          <w:szCs w:val="20"/>
        </w:rPr>
        <w:t>ler*i</w:t>
      </w:r>
      <w:r>
        <w:rPr>
          <w:rFonts w:ascii="Arial" w:hAnsi="Arial"/>
          <w:sz w:val="20"/>
          <w:szCs w:val="20"/>
        </w:rPr>
        <w:t xml:space="preserve">nnen die Förderschwerpunkte Lernen, Sprache oder Emotionale und soziale Entwicklung (L, S, E) in einem förmlichen Verfahren zugeschrieben bekommen.  In allen anderen Ländern sind es </w:t>
      </w:r>
      <w:proofErr w:type="spellStart"/>
      <w:r>
        <w:rPr>
          <w:rFonts w:ascii="Arial" w:hAnsi="Arial"/>
          <w:sz w:val="20"/>
          <w:szCs w:val="20"/>
        </w:rPr>
        <w:t>z.T</w:t>
      </w:r>
      <w:proofErr w:type="spellEnd"/>
      <w:r>
        <w:rPr>
          <w:rFonts w:ascii="Arial" w:hAnsi="Arial"/>
          <w:sz w:val="20"/>
          <w:szCs w:val="20"/>
        </w:rPr>
        <w:t xml:space="preserve"> wesentlich höhere Förderquoten. Dabei werden im Saarland die Kinder im gemeinsamen Unterricht seit 2016 nicht mehr statistisch ausgewiesen und in Bayern kommen rd. 12.000 Schüler*innen hinzu, die einen sonderpädagogischen Förderbedarf „LSE“ attestiert bekommen haben und in Förderschulen unterrichtet werden. Insgesamt werden in Bremen, Schleswig-Holstein  und Berlin weniger als 1 % in Förderzentren unterrichtet. Die Prävention bzw. die sonderpädagogische Grundversorgung kann hier wegen immer noch fehlender KMK-Daten nicht dargestellt werden. </w:t>
      </w:r>
    </w:p>
    <w:p w:rsidR="00F132EE" w:rsidRDefault="00D32884">
      <w:pPr>
        <w:rPr>
          <w:rFonts w:ascii="Arial" w:eastAsia="Arial" w:hAnsi="Arial" w:cs="Arial"/>
          <w:b/>
          <w:bCs/>
          <w:sz w:val="16"/>
          <w:szCs w:val="16"/>
        </w:rPr>
      </w:pPr>
      <w:r>
        <w:rPr>
          <w:rFonts w:ascii="Arial" w:hAnsi="Arial"/>
          <w:sz w:val="20"/>
          <w:szCs w:val="20"/>
        </w:rPr>
        <w:lastRenderedPageBreak/>
        <w:t>Für Schüler*innen mit Förderschwerpunkt Geistige Entwicklung  wurden in Schleswig-Holstein bisher noch keine zufriedenstellenden integrativen Lösungen etabliert (siehe nächste Grafik). Hier ist ein umfangreiches langfristiges Aufgabenfeld zu bearbeiten.</w:t>
      </w:r>
      <w:r w:rsidR="0078583C">
        <w:rPr>
          <w:rFonts w:ascii="Arial" w:hAnsi="Arial"/>
          <w:sz w:val="20"/>
          <w:szCs w:val="20"/>
        </w:rPr>
        <w:br/>
      </w:r>
      <w:r>
        <w:rPr>
          <w:rFonts w:ascii="Arial Unicode MS" w:eastAsia="Arial Unicode MS" w:hAnsi="Arial Unicode MS" w:cs="Arial Unicode MS"/>
          <w:sz w:val="20"/>
          <w:szCs w:val="20"/>
        </w:rPr>
        <w:br/>
      </w:r>
      <w:r>
        <w:rPr>
          <w:rFonts w:ascii="Arial" w:hAnsi="Arial"/>
          <w:b/>
          <w:bCs/>
          <w:sz w:val="16"/>
          <w:szCs w:val="16"/>
        </w:rPr>
        <w:t xml:space="preserve">Quote der Schüler*innen mit </w:t>
      </w:r>
      <w:proofErr w:type="spellStart"/>
      <w:r>
        <w:rPr>
          <w:rFonts w:ascii="Arial" w:hAnsi="Arial"/>
          <w:b/>
          <w:bCs/>
          <w:sz w:val="16"/>
          <w:szCs w:val="16"/>
        </w:rPr>
        <w:t>spFB</w:t>
      </w:r>
      <w:proofErr w:type="spellEnd"/>
      <w:r>
        <w:rPr>
          <w:rFonts w:ascii="Arial" w:hAnsi="Arial"/>
          <w:b/>
          <w:bCs/>
          <w:sz w:val="16"/>
          <w:szCs w:val="16"/>
        </w:rPr>
        <w:t xml:space="preserve"> im Förderschwerpunkt Geistige Entwicklung an allen Schüler*innen des 1. bis 10. Jg. aller Schularten, darunter Förderschulbesuchsquote (rot) und Inklusionsquote (blau) sortiert nach </w:t>
      </w:r>
      <w:r>
        <w:rPr>
          <w:rFonts w:ascii="Arial Unicode MS" w:eastAsia="Arial Unicode MS" w:hAnsi="Arial Unicode MS" w:cs="Arial Unicode MS"/>
          <w:sz w:val="16"/>
          <w:szCs w:val="16"/>
        </w:rPr>
        <w:br/>
      </w:r>
      <w:r>
        <w:rPr>
          <w:rFonts w:ascii="Arial" w:hAnsi="Arial"/>
          <w:b/>
          <w:bCs/>
          <w:sz w:val="16"/>
          <w:szCs w:val="16"/>
        </w:rPr>
        <w:t xml:space="preserve">Förderschulbesuchsquote. KMK 2014. Eigene Darstellung </w:t>
      </w:r>
      <w:r w:rsidR="00474E6E">
        <w:rPr>
          <w:rFonts w:ascii="Arial" w:hAnsi="Arial"/>
          <w:b/>
          <w:bCs/>
          <w:sz w:val="16"/>
          <w:szCs w:val="16"/>
        </w:rPr>
        <w:br/>
      </w:r>
      <w:r w:rsidR="00474E6E">
        <w:rPr>
          <w:rFonts w:ascii="Arial" w:hAnsi="Arial"/>
          <w:b/>
          <w:bCs/>
          <w:sz w:val="16"/>
          <w:szCs w:val="16"/>
        </w:rPr>
        <w:br/>
      </w:r>
      <w:r>
        <w:rPr>
          <w:noProof/>
        </w:rPr>
        <w:drawing>
          <wp:inline distT="0" distB="0" distL="0" distR="0" wp14:anchorId="71F71060" wp14:editId="2E3C3062">
            <wp:extent cx="5753100" cy="2286000"/>
            <wp:effectExtent l="0" t="0" r="19050" b="19050"/>
            <wp:docPr id="107374182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32EE" w:rsidRDefault="00D32884">
      <w:pPr>
        <w:rPr>
          <w:rFonts w:ascii="Arial" w:eastAsia="Arial" w:hAnsi="Arial" w:cs="Arial"/>
          <w:sz w:val="20"/>
          <w:szCs w:val="20"/>
        </w:rPr>
      </w:pPr>
      <w:r>
        <w:rPr>
          <w:rFonts w:ascii="Arial" w:hAnsi="Arial"/>
          <w:sz w:val="20"/>
          <w:szCs w:val="20"/>
        </w:rPr>
        <w:t>Insgesamt können die schleswig-holsteinischen Entwicklungen der inklusiven Bildung bisher als positiv zu bewertet werden. Schleswig-Holstein belegt auch im Vergleich mit den europäischen Ländern einen guten Platz.</w:t>
      </w:r>
      <w:r w:rsidR="0078583C">
        <w:rPr>
          <w:rFonts w:ascii="Arial" w:hAnsi="Arial"/>
          <w:sz w:val="20"/>
          <w:szCs w:val="20"/>
        </w:rPr>
        <w:br/>
      </w:r>
      <w:r w:rsidR="0078583C">
        <w:rPr>
          <w:rFonts w:ascii="Arial" w:hAnsi="Arial"/>
          <w:sz w:val="20"/>
          <w:szCs w:val="20"/>
        </w:rPr>
        <w:br/>
      </w:r>
      <w:r>
        <w:rPr>
          <w:rFonts w:ascii="Arial" w:hAnsi="Arial"/>
          <w:b/>
          <w:bCs/>
          <w:sz w:val="16"/>
          <w:szCs w:val="16"/>
        </w:rPr>
        <w:t xml:space="preserve">Anteil der Schüler*innen mit </w:t>
      </w:r>
      <w:proofErr w:type="spellStart"/>
      <w:r>
        <w:rPr>
          <w:rFonts w:ascii="Arial" w:hAnsi="Arial"/>
          <w:b/>
          <w:bCs/>
          <w:sz w:val="16"/>
          <w:szCs w:val="16"/>
        </w:rPr>
        <w:t>spFB</w:t>
      </w:r>
      <w:proofErr w:type="spellEnd"/>
      <w:r>
        <w:rPr>
          <w:rFonts w:ascii="Arial" w:hAnsi="Arial"/>
          <w:b/>
          <w:bCs/>
          <w:sz w:val="16"/>
          <w:szCs w:val="16"/>
        </w:rPr>
        <w:t xml:space="preserve"> in Förderschulen an allen Schüler*innen mit </w:t>
      </w:r>
      <w:proofErr w:type="spellStart"/>
      <w:r>
        <w:rPr>
          <w:rFonts w:ascii="Arial" w:hAnsi="Arial"/>
          <w:b/>
          <w:bCs/>
          <w:sz w:val="16"/>
          <w:szCs w:val="16"/>
        </w:rPr>
        <w:t>spFB</w:t>
      </w:r>
      <w:proofErr w:type="spellEnd"/>
      <w:r>
        <w:rPr>
          <w:rFonts w:ascii="Arial" w:hAnsi="Arial"/>
          <w:b/>
          <w:bCs/>
          <w:sz w:val="16"/>
          <w:szCs w:val="16"/>
        </w:rPr>
        <w:t xml:space="preserve">  im europäischen Vergleich. </w:t>
      </w:r>
      <w:proofErr w:type="spellStart"/>
      <w:r w:rsidRPr="002E01E9">
        <w:rPr>
          <w:rFonts w:ascii="Arial" w:hAnsi="Arial"/>
          <w:b/>
          <w:bCs/>
          <w:sz w:val="16"/>
          <w:szCs w:val="16"/>
          <w:lang w:val="en-US"/>
        </w:rPr>
        <w:t>Alle</w:t>
      </w:r>
      <w:proofErr w:type="spellEnd"/>
      <w:r w:rsidRPr="002E01E9">
        <w:rPr>
          <w:rFonts w:ascii="Arial" w:hAnsi="Arial"/>
          <w:b/>
          <w:bCs/>
          <w:sz w:val="16"/>
          <w:szCs w:val="16"/>
          <w:lang w:val="en-US"/>
        </w:rPr>
        <w:t xml:space="preserve"> </w:t>
      </w:r>
      <w:proofErr w:type="spellStart"/>
      <w:r w:rsidRPr="002E01E9">
        <w:rPr>
          <w:rFonts w:ascii="Arial" w:hAnsi="Arial"/>
          <w:b/>
          <w:bCs/>
          <w:sz w:val="16"/>
          <w:szCs w:val="16"/>
          <w:lang w:val="en-US"/>
        </w:rPr>
        <w:t>Förderschwerpunkte</w:t>
      </w:r>
      <w:proofErr w:type="spellEnd"/>
      <w:r w:rsidRPr="002E01E9">
        <w:rPr>
          <w:rFonts w:ascii="Arial" w:hAnsi="Arial"/>
          <w:b/>
          <w:bCs/>
          <w:sz w:val="16"/>
          <w:szCs w:val="16"/>
          <w:lang w:val="en-US"/>
        </w:rPr>
        <w:t xml:space="preserve">.  European Agency for Special Needs and Inclusive Education.  </w:t>
      </w:r>
      <w:r>
        <w:rPr>
          <w:rFonts w:ascii="Arial" w:hAnsi="Arial"/>
          <w:b/>
          <w:bCs/>
          <w:sz w:val="16"/>
          <w:szCs w:val="16"/>
        </w:rPr>
        <w:t xml:space="preserve">2017,  Basisjahr  2014. Eigene  Darstellung.  Europäische Staaten (rot) deutsche Bundesländer (gelb). </w:t>
      </w:r>
    </w:p>
    <w:p w:rsidR="002E01E9" w:rsidRDefault="002E01E9">
      <w:r>
        <w:rPr>
          <w:noProof/>
        </w:rPr>
        <w:drawing>
          <wp:inline distT="0" distB="0" distL="0" distR="0" wp14:anchorId="397A8137" wp14:editId="0768BBF7">
            <wp:extent cx="5756910" cy="3437254"/>
            <wp:effectExtent l="0" t="0" r="15240" b="1143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01E9" w:rsidRDefault="002E01E9">
      <w:r>
        <w:rPr>
          <w:rFonts w:ascii="Arial" w:hAnsi="Arial"/>
          <w:sz w:val="20"/>
          <w:szCs w:val="20"/>
        </w:rPr>
        <w:t xml:space="preserve">1/3 der Schleswig-Holsteinischen Schüler*innen mit sonderpädagogischem Förderbedarf besuchen 2014 Förderschulen aber 2/3 sind in allgemeinen Schulen. SH weist damit den zweitniedrigsten Anteil der Bundesländer aus und liegt unterhalb des europäischen Durchschnitts. </w:t>
      </w:r>
    </w:p>
    <w:sectPr w:rsidR="002E01E9">
      <w:headerReference w:type="default" r:id="rId11"/>
      <w:footerReference w:type="default" r:id="rId12"/>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066" w:rsidRDefault="00630066">
      <w:pPr>
        <w:spacing w:after="0" w:line="240" w:lineRule="auto"/>
      </w:pPr>
      <w:r>
        <w:separator/>
      </w:r>
    </w:p>
  </w:endnote>
  <w:endnote w:type="continuationSeparator" w:id="0">
    <w:p w:rsidR="00630066" w:rsidRDefault="0063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2EE" w:rsidRDefault="00F132EE">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066" w:rsidRDefault="00630066">
      <w:pPr>
        <w:spacing w:after="0" w:line="240" w:lineRule="auto"/>
      </w:pPr>
      <w:r>
        <w:separator/>
      </w:r>
    </w:p>
  </w:footnote>
  <w:footnote w:type="continuationSeparator" w:id="0">
    <w:p w:rsidR="00630066" w:rsidRDefault="00630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2EE" w:rsidRDefault="00F132EE">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70EB5"/>
    <w:multiLevelType w:val="hybridMultilevel"/>
    <w:tmpl w:val="BD5028CC"/>
    <w:styleLink w:val="ImportierterStil1"/>
    <w:lvl w:ilvl="0" w:tplc="A73E814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468DC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83065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0144F4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2567F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74EFE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E58D43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948AB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11069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63684F82"/>
    <w:multiLevelType w:val="hybridMultilevel"/>
    <w:tmpl w:val="BD5028CC"/>
    <w:numStyleLink w:val="ImportierterSti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EE"/>
    <w:rsid w:val="002E01E9"/>
    <w:rsid w:val="00474E6E"/>
    <w:rsid w:val="00622C8D"/>
    <w:rsid w:val="00630066"/>
    <w:rsid w:val="0078583C"/>
    <w:rsid w:val="00905849"/>
    <w:rsid w:val="00D32884"/>
    <w:rsid w:val="00F132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8B4A9-E821-044D-96CE-CA4B0628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styleId="Listenabsatz">
    <w:name w:val="List Paragraph"/>
    <w:pPr>
      <w:ind w:left="720"/>
    </w:pPr>
    <w:rPr>
      <w:rFonts w:ascii="Arial" w:hAnsi="Arial" w:cs="Arial Unicode MS"/>
      <w:color w:val="000000"/>
      <w:sz w:val="22"/>
      <w:szCs w:val="22"/>
      <w:u w:color="000000"/>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2E01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01E9"/>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Arbeitsblat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Arbeitsblat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Arbeitsblatt2.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KMK%20Anteile%20Sch&#252;ler%20mit%20SoP&#228;F&#246;%201999_2015%20L&#228;nd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de-DE"/>
  <c:roundedCorners val="0"/>
  <c:style val="2"/>
  <c:chart>
    <c:autoTitleDeleted val="1"/>
    <c:plotArea>
      <c:layout>
        <c:manualLayout>
          <c:layoutTarget val="inner"/>
          <c:xMode val="edge"/>
          <c:yMode val="edge"/>
          <c:x val="8.6228299999999994E-2"/>
          <c:y val="6.2730599999999997E-2"/>
          <c:w val="0.70973399999999998"/>
          <c:h val="0.82662999999999998"/>
        </c:manualLayout>
      </c:layout>
      <c:lineChart>
        <c:grouping val="standard"/>
        <c:varyColors val="0"/>
        <c:ser>
          <c:idx val="0"/>
          <c:order val="0"/>
          <c:tx>
            <c:strRef>
              <c:f>Sheet1!$A$2</c:f>
              <c:strCache>
                <c:ptCount val="1"/>
                <c:pt idx="0">
                  <c:v>FöSchulen</c:v>
                </c:pt>
              </c:strCache>
            </c:strRef>
          </c:tx>
          <c:spPr>
            <a:ln w="28575" cap="flat">
              <a:solidFill>
                <a:srgbClr val="FF0000"/>
              </a:solidFill>
              <a:prstDash val="solid"/>
              <a:round/>
            </a:ln>
            <a:effectLst/>
          </c:spPr>
          <c:marker>
            <c:symbol val="diamond"/>
            <c:size val="6"/>
            <c:spPr>
              <a:solidFill>
                <a:srgbClr val="FF0000"/>
              </a:solidFill>
              <a:ln w="9525" cap="flat">
                <a:solidFill>
                  <a:srgbClr val="4A7EBB"/>
                </a:solidFill>
                <a:prstDash val="solid"/>
                <a:round/>
              </a:ln>
              <a:effectLst/>
            </c:spPr>
          </c:marker>
          <c:cat>
            <c:strRef>
              <c:f>Sheet1!$B$1:$S$1</c:f>
              <c:strCach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strCache>
            </c:strRef>
          </c:cat>
          <c:val>
            <c:numRef>
              <c:f>Sheet1!$B$2:$S$2</c:f>
              <c:numCache>
                <c:formatCode>General</c:formatCode>
                <c:ptCount val="18"/>
                <c:pt idx="0">
                  <c:v>12235</c:v>
                </c:pt>
                <c:pt idx="1">
                  <c:v>12501</c:v>
                </c:pt>
                <c:pt idx="2">
                  <c:v>12526</c:v>
                </c:pt>
                <c:pt idx="3">
                  <c:v>12382</c:v>
                </c:pt>
                <c:pt idx="4">
                  <c:v>12196</c:v>
                </c:pt>
                <c:pt idx="5">
                  <c:v>11907</c:v>
                </c:pt>
                <c:pt idx="6">
                  <c:v>11567</c:v>
                </c:pt>
                <c:pt idx="7">
                  <c:v>11053</c:v>
                </c:pt>
                <c:pt idx="8">
                  <c:v>10209</c:v>
                </c:pt>
                <c:pt idx="9">
                  <c:v>9356</c:v>
                </c:pt>
                <c:pt idx="10">
                  <c:v>8636</c:v>
                </c:pt>
                <c:pt idx="11">
                  <c:v>8079</c:v>
                </c:pt>
                <c:pt idx="12">
                  <c:v>7522</c:v>
                </c:pt>
                <c:pt idx="13">
                  <c:v>6981</c:v>
                </c:pt>
                <c:pt idx="14">
                  <c:v>6395</c:v>
                </c:pt>
                <c:pt idx="15">
                  <c:v>5932</c:v>
                </c:pt>
                <c:pt idx="16">
                  <c:v>5640</c:v>
                </c:pt>
                <c:pt idx="17">
                  <c:v>5443</c:v>
                </c:pt>
              </c:numCache>
            </c:numRef>
          </c:val>
          <c:smooth val="0"/>
          <c:extLst>
            <c:ext xmlns:c16="http://schemas.microsoft.com/office/drawing/2014/chart" uri="{C3380CC4-5D6E-409C-BE32-E72D297353CC}">
              <c16:uniqueId val="{00000000-3E7E-BC46-B910-8870FA67E9FA}"/>
            </c:ext>
          </c:extLst>
        </c:ser>
        <c:ser>
          <c:idx val="1"/>
          <c:order val="1"/>
          <c:tx>
            <c:strRef>
              <c:f>Sheet1!$A$3</c:f>
              <c:strCache>
                <c:ptCount val="1"/>
                <c:pt idx="0">
                  <c:v>allgem. Sch.</c:v>
                </c:pt>
              </c:strCache>
            </c:strRef>
          </c:tx>
          <c:spPr>
            <a:ln w="28575" cap="flat">
              <a:solidFill>
                <a:schemeClr val="accent1"/>
              </a:solidFill>
              <a:prstDash val="solid"/>
              <a:round/>
            </a:ln>
            <a:effectLst/>
          </c:spPr>
          <c:marker>
            <c:symbol val="diamond"/>
            <c:size val="6"/>
            <c:spPr>
              <a:solidFill>
                <a:srgbClr val="0070C0"/>
              </a:solidFill>
              <a:ln w="9525" cap="flat">
                <a:solidFill>
                  <a:srgbClr val="BE4B48"/>
                </a:solidFill>
                <a:prstDash val="solid"/>
                <a:round/>
              </a:ln>
              <a:effectLst/>
            </c:spPr>
          </c:marker>
          <c:cat>
            <c:strRef>
              <c:f>Sheet1!$B$1:$S$1</c:f>
              <c:strCach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strCache>
            </c:strRef>
          </c:cat>
          <c:val>
            <c:numRef>
              <c:f>Sheet1!$B$3:$S$3</c:f>
              <c:numCache>
                <c:formatCode>General</c:formatCode>
                <c:ptCount val="18"/>
                <c:pt idx="0">
                  <c:v>3764</c:v>
                </c:pt>
                <c:pt idx="1">
                  <c:v>4039</c:v>
                </c:pt>
                <c:pt idx="2">
                  <c:v>4416</c:v>
                </c:pt>
                <c:pt idx="3">
                  <c:v>4343</c:v>
                </c:pt>
                <c:pt idx="4">
                  <c:v>4428</c:v>
                </c:pt>
                <c:pt idx="5">
                  <c:v>4091</c:v>
                </c:pt>
                <c:pt idx="6">
                  <c:v>4513</c:v>
                </c:pt>
                <c:pt idx="7">
                  <c:v>5259</c:v>
                </c:pt>
                <c:pt idx="8">
                  <c:v>5929</c:v>
                </c:pt>
                <c:pt idx="9">
                  <c:v>6479</c:v>
                </c:pt>
                <c:pt idx="10">
                  <c:v>7199</c:v>
                </c:pt>
                <c:pt idx="11">
                  <c:v>8056</c:v>
                </c:pt>
                <c:pt idx="12">
                  <c:v>8860</c:v>
                </c:pt>
                <c:pt idx="13">
                  <c:v>9462</c:v>
                </c:pt>
                <c:pt idx="14">
                  <c:v>9807</c:v>
                </c:pt>
                <c:pt idx="15">
                  <c:v>10280</c:v>
                </c:pt>
                <c:pt idx="16">
                  <c:v>10599</c:v>
                </c:pt>
                <c:pt idx="17">
                  <c:v>11220</c:v>
                </c:pt>
              </c:numCache>
            </c:numRef>
          </c:val>
          <c:smooth val="0"/>
          <c:extLst>
            <c:ext xmlns:c16="http://schemas.microsoft.com/office/drawing/2014/chart" uri="{C3380CC4-5D6E-409C-BE32-E72D297353CC}">
              <c16:uniqueId val="{00000001-3E7E-BC46-B910-8870FA67E9FA}"/>
            </c:ext>
          </c:extLst>
        </c:ser>
        <c:dLbls>
          <c:showLegendKey val="0"/>
          <c:showVal val="0"/>
          <c:showCatName val="0"/>
          <c:showSerName val="0"/>
          <c:showPercent val="0"/>
          <c:showBubbleSize val="0"/>
        </c:dLbls>
        <c:marker val="1"/>
        <c:smooth val="0"/>
        <c:axId val="92254208"/>
        <c:axId val="92256128"/>
      </c:lineChart>
      <c:catAx>
        <c:axId val="92254208"/>
        <c:scaling>
          <c:orientation val="minMax"/>
        </c:scaling>
        <c:delete val="0"/>
        <c:axPos val="b"/>
        <c:numFmt formatCode="General" sourceLinked="0"/>
        <c:majorTickMark val="out"/>
        <c:minorTickMark val="none"/>
        <c:tickLblPos val="low"/>
        <c:spPr>
          <a:ln w="12700" cap="flat">
            <a:solidFill>
              <a:srgbClr val="888888"/>
            </a:solidFill>
            <a:prstDash val="solid"/>
            <a:round/>
          </a:ln>
        </c:spPr>
        <c:txPr>
          <a:bodyPr rot="0"/>
          <a:lstStyle/>
          <a:p>
            <a:pPr>
              <a:defRPr sz="800" b="0" i="0" u="none" strike="noStrike">
                <a:solidFill>
                  <a:srgbClr val="000000"/>
                </a:solidFill>
                <a:latin typeface="Calibri"/>
              </a:defRPr>
            </a:pPr>
            <a:endParaRPr lang="de-DE"/>
          </a:p>
        </c:txPr>
        <c:crossAx val="92256128"/>
        <c:crosses val="autoZero"/>
        <c:auto val="1"/>
        <c:lblAlgn val="ctr"/>
        <c:lblOffset val="100"/>
        <c:noMultiLvlLbl val="1"/>
      </c:catAx>
      <c:valAx>
        <c:axId val="92256128"/>
        <c:scaling>
          <c:orientation val="minMax"/>
        </c:scaling>
        <c:delete val="0"/>
        <c:axPos val="l"/>
        <c:majorGridlines>
          <c:spPr>
            <a:ln w="12700" cap="flat">
              <a:solidFill>
                <a:srgbClr val="888888"/>
              </a:solidFill>
              <a:prstDash val="solid"/>
              <a:round/>
            </a:ln>
          </c:spPr>
        </c:majorGridlines>
        <c:numFmt formatCode="#,##0;&quot;-&quot;#,##0;&quot;-&quot;" sourceLinked="0"/>
        <c:majorTickMark val="out"/>
        <c:minorTickMark val="none"/>
        <c:tickLblPos val="nextTo"/>
        <c:spPr>
          <a:ln w="12700" cap="flat">
            <a:solidFill>
              <a:srgbClr val="888888"/>
            </a:solidFill>
            <a:prstDash val="solid"/>
            <a:round/>
          </a:ln>
        </c:spPr>
        <c:txPr>
          <a:bodyPr rot="0"/>
          <a:lstStyle/>
          <a:p>
            <a:pPr>
              <a:defRPr sz="800" b="0" i="0" u="none" strike="noStrike">
                <a:solidFill>
                  <a:srgbClr val="000000"/>
                </a:solidFill>
                <a:latin typeface="Calibri"/>
              </a:defRPr>
            </a:pPr>
            <a:endParaRPr lang="de-DE"/>
          </a:p>
        </c:txPr>
        <c:crossAx val="92254208"/>
        <c:crosses val="autoZero"/>
        <c:crossBetween val="between"/>
        <c:majorUnit val="3250"/>
        <c:minorUnit val="1625"/>
      </c:valAx>
      <c:spPr>
        <a:solidFill>
          <a:srgbClr val="FFFFFF"/>
        </a:solidFill>
        <a:ln w="12700" cap="flat">
          <a:noFill/>
          <a:miter lim="400000"/>
        </a:ln>
        <a:effectLst/>
      </c:spPr>
    </c:plotArea>
    <c:legend>
      <c:legendPos val="r"/>
      <c:layout>
        <c:manualLayout>
          <c:xMode val="edge"/>
          <c:yMode val="edge"/>
          <c:x val="0.82580799999999999"/>
          <c:y val="0.41770600000000002"/>
          <c:w val="0.17419200000000001"/>
          <c:h val="0.15046100000000001"/>
        </c:manualLayout>
      </c:layout>
      <c:overlay val="1"/>
      <c:spPr>
        <a:noFill/>
        <a:ln w="12700" cap="flat">
          <a:noFill/>
          <a:miter lim="400000"/>
        </a:ln>
        <a:effectLst/>
      </c:spPr>
      <c:txPr>
        <a:bodyPr rot="0"/>
        <a:lstStyle/>
        <a:p>
          <a:pPr>
            <a:defRPr sz="800" b="0" i="0" u="none" strike="noStrike">
              <a:solidFill>
                <a:srgbClr val="000000"/>
              </a:solidFill>
              <a:latin typeface="Calibri"/>
            </a:defRPr>
          </a:pPr>
          <a:endParaRPr lang="de-DE"/>
        </a:p>
      </c:txPr>
    </c:legend>
    <c:plotVisOnly val="1"/>
    <c:dispBlanksAs val="gap"/>
    <c:showDLblsOverMax val="1"/>
  </c:chart>
  <c:spPr>
    <a:solidFill>
      <a:srgbClr val="FFFFFF"/>
    </a:solidFill>
    <a:ln w="12700" cap="flat">
      <a:solidFill>
        <a:srgbClr val="888888"/>
      </a:solidFill>
      <a:prstDash val="solid"/>
      <a:round/>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de-DE"/>
  <c:roundedCorners val="0"/>
  <c:style val="2"/>
  <c:chart>
    <c:autoTitleDeleted val="1"/>
    <c:view3D>
      <c:rotX val="15"/>
      <c:hPercent val="40"/>
      <c:rotY val="0"/>
      <c:depthPercent val="5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000000000000001E-3"/>
          <c:y val="5.0000000000000001E-3"/>
          <c:w val="0.84561920743513619"/>
          <c:h val="0.98750000000000004"/>
        </c:manualLayout>
      </c:layout>
      <c:bar3DChart>
        <c:barDir val="col"/>
        <c:grouping val="stacked"/>
        <c:varyColors val="0"/>
        <c:ser>
          <c:idx val="0"/>
          <c:order val="0"/>
          <c:tx>
            <c:strRef>
              <c:f>Sheet1!$A$2</c:f>
              <c:strCache>
                <c:ptCount val="1"/>
                <c:pt idx="0">
                  <c:v>E Quote</c:v>
                </c:pt>
              </c:strCache>
            </c:strRef>
          </c:tx>
          <c:spPr>
            <a:solidFill>
              <a:srgbClr val="FF0000"/>
            </a:solidFill>
            <a:ln w="12700" cap="flat">
              <a:noFill/>
              <a:miter lim="400000"/>
            </a:ln>
            <a:effectLst/>
            <a:sp3d prstMaterial="matte"/>
          </c:spPr>
          <c:invertIfNegative val="0"/>
          <c:cat>
            <c:strRef>
              <c:f>Sheet1!$B$1:$R$1</c:f>
              <c:strCache>
                <c:ptCount val="17"/>
                <c:pt idx="0">
                  <c:v>SN</c:v>
                </c:pt>
                <c:pt idx="1">
                  <c:v>MV</c:v>
                </c:pt>
                <c:pt idx="2">
                  <c:v>ST</c:v>
                </c:pt>
                <c:pt idx="3">
                  <c:v>BW</c:v>
                </c:pt>
                <c:pt idx="4">
                  <c:v>NW</c:v>
                </c:pt>
                <c:pt idx="5">
                  <c:v>RP</c:v>
                </c:pt>
                <c:pt idx="6">
                  <c:v>HE</c:v>
                </c:pt>
                <c:pt idx="7">
                  <c:v>D</c:v>
                </c:pt>
                <c:pt idx="8">
                  <c:v>BB</c:v>
                </c:pt>
                <c:pt idx="9">
                  <c:v>TH</c:v>
                </c:pt>
                <c:pt idx="10">
                  <c:v>SL*</c:v>
                </c:pt>
                <c:pt idx="11">
                  <c:v>NI</c:v>
                </c:pt>
                <c:pt idx="12">
                  <c:v>HH</c:v>
                </c:pt>
                <c:pt idx="13">
                  <c:v>BE</c:v>
                </c:pt>
                <c:pt idx="14">
                  <c:v>BY**</c:v>
                </c:pt>
                <c:pt idx="15">
                  <c:v>SH</c:v>
                </c:pt>
                <c:pt idx="16">
                  <c:v>HB</c:v>
                </c:pt>
              </c:strCache>
            </c:strRef>
          </c:cat>
          <c:val>
            <c:numRef>
              <c:f>Sheet1!$B$2:$R$2</c:f>
              <c:numCache>
                <c:formatCode>General</c:formatCode>
                <c:ptCount val="17"/>
                <c:pt idx="0">
                  <c:v>4.22</c:v>
                </c:pt>
                <c:pt idx="1">
                  <c:v>3.73</c:v>
                </c:pt>
                <c:pt idx="2">
                  <c:v>3.28</c:v>
                </c:pt>
                <c:pt idx="3">
                  <c:v>3</c:v>
                </c:pt>
                <c:pt idx="4">
                  <c:v>2.67</c:v>
                </c:pt>
                <c:pt idx="5">
                  <c:v>2.56</c:v>
                </c:pt>
                <c:pt idx="6">
                  <c:v>2.35</c:v>
                </c:pt>
                <c:pt idx="7">
                  <c:v>2.2599999999999998</c:v>
                </c:pt>
                <c:pt idx="8">
                  <c:v>2.23</c:v>
                </c:pt>
                <c:pt idx="9">
                  <c:v>2.17</c:v>
                </c:pt>
                <c:pt idx="10">
                  <c:v>2.1</c:v>
                </c:pt>
                <c:pt idx="11">
                  <c:v>1.96</c:v>
                </c:pt>
                <c:pt idx="12">
                  <c:v>1.43</c:v>
                </c:pt>
                <c:pt idx="13">
                  <c:v>1.1200000000000001</c:v>
                </c:pt>
                <c:pt idx="14">
                  <c:v>1.1100000000000001</c:v>
                </c:pt>
                <c:pt idx="15">
                  <c:v>0.56999999999999995</c:v>
                </c:pt>
                <c:pt idx="16">
                  <c:v>0.36</c:v>
                </c:pt>
              </c:numCache>
            </c:numRef>
          </c:val>
          <c:extLst>
            <c:ext xmlns:c16="http://schemas.microsoft.com/office/drawing/2014/chart" uri="{C3380CC4-5D6E-409C-BE32-E72D297353CC}">
              <c16:uniqueId val="{00000000-2E9D-AD43-8C52-75BFB1F3806B}"/>
            </c:ext>
          </c:extLst>
        </c:ser>
        <c:ser>
          <c:idx val="1"/>
          <c:order val="1"/>
          <c:tx>
            <c:strRef>
              <c:f>Sheet1!$A$3</c:f>
              <c:strCache>
                <c:ptCount val="1"/>
                <c:pt idx="0">
                  <c:v>I  Quote</c:v>
                </c:pt>
              </c:strCache>
            </c:strRef>
          </c:tx>
          <c:spPr>
            <a:solidFill>
              <a:srgbClr val="558ED5"/>
            </a:solidFill>
            <a:ln w="12700" cap="flat">
              <a:noFill/>
              <a:miter lim="400000"/>
            </a:ln>
            <a:effectLst/>
            <a:sp3d prstMaterial="matte"/>
          </c:spPr>
          <c:invertIfNegative val="0"/>
          <c:cat>
            <c:strRef>
              <c:f>Sheet1!$B$1:$R$1</c:f>
              <c:strCache>
                <c:ptCount val="17"/>
                <c:pt idx="0">
                  <c:v>SN</c:v>
                </c:pt>
                <c:pt idx="1">
                  <c:v>MV</c:v>
                </c:pt>
                <c:pt idx="2">
                  <c:v>ST</c:v>
                </c:pt>
                <c:pt idx="3">
                  <c:v>BW</c:v>
                </c:pt>
                <c:pt idx="4">
                  <c:v>NW</c:v>
                </c:pt>
                <c:pt idx="5">
                  <c:v>RP</c:v>
                </c:pt>
                <c:pt idx="6">
                  <c:v>HE</c:v>
                </c:pt>
                <c:pt idx="7">
                  <c:v>D</c:v>
                </c:pt>
                <c:pt idx="8">
                  <c:v>BB</c:v>
                </c:pt>
                <c:pt idx="9">
                  <c:v>TH</c:v>
                </c:pt>
                <c:pt idx="10">
                  <c:v>SL*</c:v>
                </c:pt>
                <c:pt idx="11">
                  <c:v>NI</c:v>
                </c:pt>
                <c:pt idx="12">
                  <c:v>HH</c:v>
                </c:pt>
                <c:pt idx="13">
                  <c:v>BE</c:v>
                </c:pt>
                <c:pt idx="14">
                  <c:v>BY**</c:v>
                </c:pt>
                <c:pt idx="15">
                  <c:v>SH</c:v>
                </c:pt>
                <c:pt idx="16">
                  <c:v>HB</c:v>
                </c:pt>
              </c:strCache>
            </c:strRef>
          </c:cat>
          <c:val>
            <c:numRef>
              <c:f>Sheet1!$B$3:$R$3</c:f>
              <c:numCache>
                <c:formatCode>General</c:formatCode>
                <c:ptCount val="17"/>
                <c:pt idx="0">
                  <c:v>2.19</c:v>
                </c:pt>
                <c:pt idx="1">
                  <c:v>3.26</c:v>
                </c:pt>
                <c:pt idx="2">
                  <c:v>2.58</c:v>
                </c:pt>
                <c:pt idx="3">
                  <c:v>2.21</c:v>
                </c:pt>
                <c:pt idx="4">
                  <c:v>2.6</c:v>
                </c:pt>
                <c:pt idx="5">
                  <c:v>1.37</c:v>
                </c:pt>
                <c:pt idx="6">
                  <c:v>1.24</c:v>
                </c:pt>
                <c:pt idx="7">
                  <c:v>2.2999999999999998</c:v>
                </c:pt>
                <c:pt idx="8">
                  <c:v>2.62</c:v>
                </c:pt>
                <c:pt idx="9">
                  <c:v>2.0099999999999998</c:v>
                </c:pt>
                <c:pt idx="11">
                  <c:v>2.64</c:v>
                </c:pt>
                <c:pt idx="12">
                  <c:v>4.5599999999999996</c:v>
                </c:pt>
                <c:pt idx="13">
                  <c:v>2.23</c:v>
                </c:pt>
                <c:pt idx="14">
                  <c:v>1.5</c:v>
                </c:pt>
                <c:pt idx="15">
                  <c:v>3.32</c:v>
                </c:pt>
                <c:pt idx="16">
                  <c:v>4.29</c:v>
                </c:pt>
              </c:numCache>
            </c:numRef>
          </c:val>
          <c:extLst>
            <c:ext xmlns:c16="http://schemas.microsoft.com/office/drawing/2014/chart" uri="{C3380CC4-5D6E-409C-BE32-E72D297353CC}">
              <c16:uniqueId val="{00000001-2E9D-AD43-8C52-75BFB1F3806B}"/>
            </c:ext>
          </c:extLst>
        </c:ser>
        <c:dLbls>
          <c:showLegendKey val="0"/>
          <c:showVal val="0"/>
          <c:showCatName val="0"/>
          <c:showSerName val="0"/>
          <c:showPercent val="0"/>
          <c:showBubbleSize val="0"/>
        </c:dLbls>
        <c:gapWidth val="150"/>
        <c:shape val="box"/>
        <c:axId val="85150336"/>
        <c:axId val="93802880"/>
        <c:axId val="92252352"/>
      </c:bar3DChart>
      <c:catAx>
        <c:axId val="85150336"/>
        <c:scaling>
          <c:orientation val="minMax"/>
        </c:scaling>
        <c:delete val="0"/>
        <c:axPos val="b"/>
        <c:numFmt formatCode="General" sourceLinked="0"/>
        <c:majorTickMark val="out"/>
        <c:minorTickMark val="none"/>
        <c:tickLblPos val="low"/>
        <c:spPr>
          <a:ln w="12700" cap="flat">
            <a:noFill/>
            <a:prstDash val="solid"/>
            <a:round/>
          </a:ln>
        </c:spPr>
        <c:txPr>
          <a:bodyPr rot="0"/>
          <a:lstStyle/>
          <a:p>
            <a:pPr>
              <a:defRPr sz="800" b="0" i="0" u="none" strike="noStrike">
                <a:solidFill>
                  <a:srgbClr val="000000"/>
                </a:solidFill>
                <a:latin typeface="Calibri"/>
              </a:defRPr>
            </a:pPr>
            <a:endParaRPr lang="de-DE"/>
          </a:p>
        </c:txPr>
        <c:crossAx val="93802880"/>
        <c:crosses val="autoZero"/>
        <c:auto val="1"/>
        <c:lblAlgn val="ctr"/>
        <c:lblOffset val="100"/>
        <c:noMultiLvlLbl val="1"/>
      </c:catAx>
      <c:valAx>
        <c:axId val="93802880"/>
        <c:scaling>
          <c:orientation val="minMax"/>
        </c:scaling>
        <c:delete val="0"/>
        <c:axPos val="l"/>
        <c:majorGridlines>
          <c:spPr>
            <a:ln w="12700" cap="flat">
              <a:solidFill>
                <a:srgbClr val="888888"/>
              </a:solidFill>
              <a:prstDash val="solid"/>
              <a:round/>
            </a:ln>
          </c:spPr>
        </c:majorGridlines>
        <c:numFmt formatCode="0.##" sourceLinked="0"/>
        <c:majorTickMark val="out"/>
        <c:minorTickMark val="none"/>
        <c:tickLblPos val="nextTo"/>
        <c:spPr>
          <a:ln w="12700" cap="flat">
            <a:noFill/>
            <a:prstDash val="solid"/>
            <a:round/>
          </a:ln>
        </c:spPr>
        <c:txPr>
          <a:bodyPr rot="0"/>
          <a:lstStyle/>
          <a:p>
            <a:pPr>
              <a:defRPr sz="800" b="0" i="0" u="none" strike="noStrike">
                <a:solidFill>
                  <a:srgbClr val="000000"/>
                </a:solidFill>
                <a:latin typeface="Calibri"/>
              </a:defRPr>
            </a:pPr>
            <a:endParaRPr lang="de-DE"/>
          </a:p>
        </c:txPr>
        <c:crossAx val="85150336"/>
        <c:crosses val="autoZero"/>
        <c:crossBetween val="between"/>
        <c:majorUnit val="1.75"/>
        <c:minorUnit val="0.875"/>
      </c:valAx>
      <c:serAx>
        <c:axId val="92252352"/>
        <c:scaling>
          <c:orientation val="minMax"/>
        </c:scaling>
        <c:delete val="0"/>
        <c:axPos val="b"/>
        <c:majorTickMark val="out"/>
        <c:minorTickMark val="none"/>
        <c:tickLblPos val="none"/>
        <c:spPr>
          <a:ln w="12700" cap="flat">
            <a:noFill/>
            <a:prstDash val="solid"/>
            <a:round/>
          </a:ln>
        </c:spPr>
        <c:crossAx val="93802880"/>
        <c:crosses val="autoZero"/>
        <c:tickLblSkip val="1"/>
      </c:serAx>
      <c:spPr>
        <a:solidFill>
          <a:srgbClr val="FFFFFF"/>
        </a:solidFill>
        <a:ln w="12700" cap="flat">
          <a:noFill/>
          <a:miter lim="400000"/>
        </a:ln>
        <a:effectLst/>
      </c:spPr>
    </c:plotArea>
    <c:legend>
      <c:legendPos val="r"/>
      <c:layout>
        <c:manualLayout>
          <c:xMode val="edge"/>
          <c:yMode val="edge"/>
          <c:x val="0.88609000000000004"/>
          <c:y val="0.37991399999999997"/>
          <c:w val="0.11391"/>
          <c:h val="0.15487000000000001"/>
        </c:manualLayout>
      </c:layout>
      <c:overlay val="1"/>
      <c:spPr>
        <a:noFill/>
        <a:ln w="12700" cap="flat">
          <a:noFill/>
          <a:miter lim="400000"/>
        </a:ln>
        <a:effectLst/>
      </c:spPr>
      <c:txPr>
        <a:bodyPr rot="0"/>
        <a:lstStyle/>
        <a:p>
          <a:pPr>
            <a:defRPr sz="800" b="0" i="0" u="none" strike="noStrike">
              <a:solidFill>
                <a:srgbClr val="000000"/>
              </a:solidFill>
              <a:latin typeface="Calibri"/>
            </a:defRPr>
          </a:pPr>
          <a:endParaRPr lang="de-DE"/>
        </a:p>
      </c:txPr>
    </c:legend>
    <c:plotVisOnly val="1"/>
    <c:dispBlanksAs val="gap"/>
    <c:showDLblsOverMax val="1"/>
  </c:chart>
  <c:spPr>
    <a:solidFill>
      <a:srgbClr val="FFFFFF"/>
    </a:solidFill>
    <a:ln w="12700" cap="flat">
      <a:solidFill>
        <a:srgbClr val="888888"/>
      </a:solidFill>
      <a:prstDash val="solid"/>
      <a:round/>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de-DE"/>
  <c:roundedCorners val="0"/>
  <c:style val="2"/>
  <c:chart>
    <c:autoTitleDeleted val="1"/>
    <c:view3D>
      <c:rotX val="15"/>
      <c:hPercent val="32"/>
      <c:rotY val="0"/>
      <c:depthPercent val="5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000000000000001E-3"/>
          <c:y val="5.0000000000000001E-3"/>
          <c:w val="0.84118214527819779"/>
          <c:h val="0.98750000000000004"/>
        </c:manualLayout>
      </c:layout>
      <c:bar3DChart>
        <c:barDir val="col"/>
        <c:grouping val="stacked"/>
        <c:varyColors val="0"/>
        <c:ser>
          <c:idx val="0"/>
          <c:order val="0"/>
          <c:tx>
            <c:strRef>
              <c:f>Sheet1!$A$2</c:f>
              <c:strCache>
                <c:ptCount val="1"/>
                <c:pt idx="0">
                  <c:v>E Quote</c:v>
                </c:pt>
              </c:strCache>
            </c:strRef>
          </c:tx>
          <c:spPr>
            <a:solidFill>
              <a:srgbClr val="FF0000"/>
            </a:solidFill>
            <a:ln w="12700" cap="flat">
              <a:noFill/>
              <a:miter lim="400000"/>
            </a:ln>
            <a:effectLst/>
            <a:sp3d prstMaterial="matte"/>
          </c:spPr>
          <c:invertIfNegative val="0"/>
          <c:cat>
            <c:strRef>
              <c:f>Sheet1!$B$1:$R$1</c:f>
              <c:strCache>
                <c:ptCount val="17"/>
                <c:pt idx="0">
                  <c:v>ST</c:v>
                </c:pt>
                <c:pt idx="1">
                  <c:v>MV</c:v>
                </c:pt>
                <c:pt idx="2">
                  <c:v>TH</c:v>
                </c:pt>
                <c:pt idx="3">
                  <c:v>BB</c:v>
                </c:pt>
                <c:pt idx="4">
                  <c:v>SH</c:v>
                </c:pt>
                <c:pt idx="5">
                  <c:v>SN</c:v>
                </c:pt>
                <c:pt idx="6">
                  <c:v>NW</c:v>
                </c:pt>
                <c:pt idx="7">
                  <c:v>D</c:v>
                </c:pt>
                <c:pt idx="8">
                  <c:v>NI</c:v>
                </c:pt>
                <c:pt idx="9">
                  <c:v>HE</c:v>
                </c:pt>
                <c:pt idx="10">
                  <c:v>BY</c:v>
                </c:pt>
                <c:pt idx="11">
                  <c:v>BE</c:v>
                </c:pt>
                <c:pt idx="12">
                  <c:v>BW</c:v>
                </c:pt>
                <c:pt idx="13">
                  <c:v>RP</c:v>
                </c:pt>
                <c:pt idx="14">
                  <c:v>SL</c:v>
                </c:pt>
                <c:pt idx="15">
                  <c:v>HH</c:v>
                </c:pt>
                <c:pt idx="16">
                  <c:v>HB</c:v>
                </c:pt>
              </c:strCache>
            </c:strRef>
          </c:cat>
          <c:val>
            <c:numRef>
              <c:f>Sheet1!$B$2:$R$2</c:f>
              <c:numCache>
                <c:formatCode>General</c:formatCode>
                <c:ptCount val="17"/>
                <c:pt idx="0">
                  <c:v>1.9</c:v>
                </c:pt>
                <c:pt idx="1">
                  <c:v>1.65</c:v>
                </c:pt>
                <c:pt idx="2">
                  <c:v>1.54</c:v>
                </c:pt>
                <c:pt idx="3">
                  <c:v>1.51</c:v>
                </c:pt>
                <c:pt idx="4">
                  <c:v>1.33</c:v>
                </c:pt>
                <c:pt idx="5">
                  <c:v>1.23</c:v>
                </c:pt>
                <c:pt idx="6">
                  <c:v>1.1399999999999999</c:v>
                </c:pt>
                <c:pt idx="7">
                  <c:v>1.05</c:v>
                </c:pt>
                <c:pt idx="8">
                  <c:v>1.02</c:v>
                </c:pt>
                <c:pt idx="9">
                  <c:v>0.93</c:v>
                </c:pt>
                <c:pt idx="10">
                  <c:v>0.92</c:v>
                </c:pt>
                <c:pt idx="11">
                  <c:v>0.91</c:v>
                </c:pt>
                <c:pt idx="12">
                  <c:v>0.87</c:v>
                </c:pt>
                <c:pt idx="13">
                  <c:v>0.82</c:v>
                </c:pt>
                <c:pt idx="14">
                  <c:v>0.81</c:v>
                </c:pt>
                <c:pt idx="15">
                  <c:v>0.63</c:v>
                </c:pt>
                <c:pt idx="16">
                  <c:v>0.05</c:v>
                </c:pt>
              </c:numCache>
            </c:numRef>
          </c:val>
          <c:extLst>
            <c:ext xmlns:c16="http://schemas.microsoft.com/office/drawing/2014/chart" uri="{C3380CC4-5D6E-409C-BE32-E72D297353CC}">
              <c16:uniqueId val="{00000000-126B-E747-B7DA-501643B3B3EA}"/>
            </c:ext>
          </c:extLst>
        </c:ser>
        <c:ser>
          <c:idx val="1"/>
          <c:order val="1"/>
          <c:tx>
            <c:strRef>
              <c:f>Sheet1!$A$3</c:f>
              <c:strCache>
                <c:ptCount val="1"/>
                <c:pt idx="0">
                  <c:v>I  Quote</c:v>
                </c:pt>
              </c:strCache>
            </c:strRef>
          </c:tx>
          <c:spPr>
            <a:solidFill>
              <a:srgbClr val="558ED5"/>
            </a:solidFill>
            <a:ln w="12700" cap="flat">
              <a:noFill/>
              <a:miter lim="400000"/>
            </a:ln>
            <a:effectLst/>
            <a:sp3d prstMaterial="matte"/>
          </c:spPr>
          <c:invertIfNegative val="0"/>
          <c:cat>
            <c:strRef>
              <c:f>Sheet1!$B$1:$R$1</c:f>
              <c:strCache>
                <c:ptCount val="17"/>
                <c:pt idx="0">
                  <c:v>ST</c:v>
                </c:pt>
                <c:pt idx="1">
                  <c:v>MV</c:v>
                </c:pt>
                <c:pt idx="2">
                  <c:v>TH</c:v>
                </c:pt>
                <c:pt idx="3">
                  <c:v>BB</c:v>
                </c:pt>
                <c:pt idx="4">
                  <c:v>SH</c:v>
                </c:pt>
                <c:pt idx="5">
                  <c:v>SN</c:v>
                </c:pt>
                <c:pt idx="6">
                  <c:v>NW</c:v>
                </c:pt>
                <c:pt idx="7">
                  <c:v>D</c:v>
                </c:pt>
                <c:pt idx="8">
                  <c:v>NI</c:v>
                </c:pt>
                <c:pt idx="9">
                  <c:v>HE</c:v>
                </c:pt>
                <c:pt idx="10">
                  <c:v>BY</c:v>
                </c:pt>
                <c:pt idx="11">
                  <c:v>BE</c:v>
                </c:pt>
                <c:pt idx="12">
                  <c:v>BW</c:v>
                </c:pt>
                <c:pt idx="13">
                  <c:v>RP</c:v>
                </c:pt>
                <c:pt idx="14">
                  <c:v>SL</c:v>
                </c:pt>
                <c:pt idx="15">
                  <c:v>HH</c:v>
                </c:pt>
                <c:pt idx="16">
                  <c:v>HB</c:v>
                </c:pt>
              </c:strCache>
            </c:strRef>
          </c:cat>
          <c:val>
            <c:numRef>
              <c:f>Sheet1!$B$3:$R$3</c:f>
              <c:numCache>
                <c:formatCode>General</c:formatCode>
                <c:ptCount val="17"/>
                <c:pt idx="0">
                  <c:v>0.05</c:v>
                </c:pt>
                <c:pt idx="1">
                  <c:v>0.03</c:v>
                </c:pt>
                <c:pt idx="2">
                  <c:v>0.18</c:v>
                </c:pt>
                <c:pt idx="3">
                  <c:v>0.35</c:v>
                </c:pt>
                <c:pt idx="4">
                  <c:v>0.21</c:v>
                </c:pt>
                <c:pt idx="5">
                  <c:v>0.04</c:v>
                </c:pt>
                <c:pt idx="6">
                  <c:v>0.14000000000000001</c:v>
                </c:pt>
                <c:pt idx="7">
                  <c:v>0.14000000000000001</c:v>
                </c:pt>
                <c:pt idx="8">
                  <c:v>0.25</c:v>
                </c:pt>
                <c:pt idx="9">
                  <c:v>0.12</c:v>
                </c:pt>
                <c:pt idx="10">
                  <c:v>0.09</c:v>
                </c:pt>
                <c:pt idx="11">
                  <c:v>0.1</c:v>
                </c:pt>
                <c:pt idx="12">
                  <c:v>7.0000000000000007E-2</c:v>
                </c:pt>
                <c:pt idx="13">
                  <c:v>0.08</c:v>
                </c:pt>
                <c:pt idx="15">
                  <c:v>0.34</c:v>
                </c:pt>
                <c:pt idx="16">
                  <c:v>0.92</c:v>
                </c:pt>
              </c:numCache>
            </c:numRef>
          </c:val>
          <c:extLst>
            <c:ext xmlns:c16="http://schemas.microsoft.com/office/drawing/2014/chart" uri="{C3380CC4-5D6E-409C-BE32-E72D297353CC}">
              <c16:uniqueId val="{00000001-126B-E747-B7DA-501643B3B3EA}"/>
            </c:ext>
          </c:extLst>
        </c:ser>
        <c:dLbls>
          <c:showLegendKey val="0"/>
          <c:showVal val="0"/>
          <c:showCatName val="0"/>
          <c:showSerName val="0"/>
          <c:showPercent val="0"/>
          <c:showBubbleSize val="0"/>
        </c:dLbls>
        <c:gapWidth val="150"/>
        <c:shape val="box"/>
        <c:axId val="93821184"/>
        <c:axId val="94494720"/>
        <c:axId val="92253696"/>
      </c:bar3DChart>
      <c:catAx>
        <c:axId val="93821184"/>
        <c:scaling>
          <c:orientation val="minMax"/>
        </c:scaling>
        <c:delete val="0"/>
        <c:axPos val="b"/>
        <c:numFmt formatCode="General" sourceLinked="0"/>
        <c:majorTickMark val="out"/>
        <c:minorTickMark val="none"/>
        <c:tickLblPos val="low"/>
        <c:spPr>
          <a:ln w="12700" cap="flat">
            <a:noFill/>
            <a:prstDash val="solid"/>
            <a:round/>
          </a:ln>
        </c:spPr>
        <c:txPr>
          <a:bodyPr rot="0"/>
          <a:lstStyle/>
          <a:p>
            <a:pPr>
              <a:defRPr sz="800" b="0" i="0" u="none" strike="noStrike">
                <a:solidFill>
                  <a:srgbClr val="000000"/>
                </a:solidFill>
                <a:latin typeface="Calibri"/>
              </a:defRPr>
            </a:pPr>
            <a:endParaRPr lang="de-DE"/>
          </a:p>
        </c:txPr>
        <c:crossAx val="94494720"/>
        <c:crosses val="autoZero"/>
        <c:auto val="1"/>
        <c:lblAlgn val="ctr"/>
        <c:lblOffset val="100"/>
        <c:noMultiLvlLbl val="1"/>
      </c:catAx>
      <c:valAx>
        <c:axId val="94494720"/>
        <c:scaling>
          <c:orientation val="minMax"/>
        </c:scaling>
        <c:delete val="0"/>
        <c:axPos val="l"/>
        <c:majorGridlines>
          <c:spPr>
            <a:ln w="12700" cap="flat">
              <a:solidFill>
                <a:srgbClr val="888888"/>
              </a:solidFill>
              <a:prstDash val="solid"/>
              <a:round/>
            </a:ln>
          </c:spPr>
        </c:majorGridlines>
        <c:numFmt formatCode="0.0" sourceLinked="0"/>
        <c:majorTickMark val="out"/>
        <c:minorTickMark val="none"/>
        <c:tickLblPos val="nextTo"/>
        <c:spPr>
          <a:ln w="12700" cap="flat">
            <a:noFill/>
            <a:prstDash val="solid"/>
            <a:round/>
          </a:ln>
        </c:spPr>
        <c:txPr>
          <a:bodyPr rot="0"/>
          <a:lstStyle/>
          <a:p>
            <a:pPr>
              <a:defRPr sz="800" b="0" i="0" u="none" strike="noStrike">
                <a:solidFill>
                  <a:srgbClr val="000000"/>
                </a:solidFill>
                <a:latin typeface="Calibri"/>
              </a:defRPr>
            </a:pPr>
            <a:endParaRPr lang="de-DE"/>
          </a:p>
        </c:txPr>
        <c:crossAx val="93821184"/>
        <c:crosses val="autoZero"/>
        <c:crossBetween val="between"/>
        <c:majorUnit val="0.5"/>
        <c:minorUnit val="0.25"/>
      </c:valAx>
      <c:serAx>
        <c:axId val="92253696"/>
        <c:scaling>
          <c:orientation val="minMax"/>
        </c:scaling>
        <c:delete val="0"/>
        <c:axPos val="b"/>
        <c:majorTickMark val="out"/>
        <c:minorTickMark val="none"/>
        <c:tickLblPos val="none"/>
        <c:spPr>
          <a:ln w="12700" cap="flat">
            <a:noFill/>
            <a:prstDash val="solid"/>
            <a:round/>
          </a:ln>
        </c:spPr>
        <c:crossAx val="94494720"/>
        <c:crosses val="autoZero"/>
        <c:tickLblSkip val="1"/>
      </c:serAx>
      <c:spPr>
        <a:solidFill>
          <a:srgbClr val="FFFFFF"/>
        </a:solidFill>
        <a:ln w="12700" cap="flat">
          <a:noFill/>
          <a:miter lim="400000"/>
        </a:ln>
        <a:effectLst/>
      </c:spPr>
    </c:plotArea>
    <c:legend>
      <c:legendPos val="r"/>
      <c:layout>
        <c:manualLayout>
          <c:xMode val="edge"/>
          <c:yMode val="edge"/>
          <c:x val="0.88409499999999996"/>
          <c:y val="0.35438700000000001"/>
          <c:w val="0.11590499999999999"/>
          <c:h val="0.18124999999999999"/>
        </c:manualLayout>
      </c:layout>
      <c:overlay val="1"/>
      <c:spPr>
        <a:noFill/>
        <a:ln w="12700" cap="flat">
          <a:noFill/>
          <a:miter lim="400000"/>
        </a:ln>
        <a:effectLst/>
      </c:spPr>
      <c:txPr>
        <a:bodyPr rot="0"/>
        <a:lstStyle/>
        <a:p>
          <a:pPr>
            <a:defRPr sz="800" b="0" i="0" u="none" strike="noStrike">
              <a:solidFill>
                <a:srgbClr val="000000"/>
              </a:solidFill>
              <a:latin typeface="Calibri"/>
            </a:defRPr>
          </a:pPr>
          <a:endParaRPr lang="de-DE"/>
        </a:p>
      </c:txPr>
    </c:legend>
    <c:plotVisOnly val="1"/>
    <c:dispBlanksAs val="gap"/>
    <c:showDLblsOverMax val="1"/>
  </c:chart>
  <c:spPr>
    <a:solidFill>
      <a:srgbClr val="FFFFFF"/>
    </a:solidFill>
    <a:ln w="12700" cap="flat">
      <a:solidFill>
        <a:srgbClr val="888888"/>
      </a:solidFill>
      <a:prstDash val="solid"/>
      <a:round/>
    </a:ln>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spPr>
            <a:solidFill>
              <a:srgbClr val="FF0000"/>
            </a:solidFill>
          </c:spPr>
          <c:invertIfNegative val="0"/>
          <c:dPt>
            <c:idx val="3"/>
            <c:invertIfNegative val="0"/>
            <c:bubble3D val="0"/>
            <c:spPr>
              <a:solidFill>
                <a:srgbClr val="FFFF00"/>
              </a:solidFill>
            </c:spPr>
            <c:extLst>
              <c:ext xmlns:c16="http://schemas.microsoft.com/office/drawing/2014/chart" uri="{C3380CC4-5D6E-409C-BE32-E72D297353CC}">
                <c16:uniqueId val="{00000001-5BDC-434D-8C4E-12CD59F02720}"/>
              </c:ext>
            </c:extLst>
          </c:dPt>
          <c:dPt>
            <c:idx val="4"/>
            <c:invertIfNegative val="0"/>
            <c:bubble3D val="0"/>
            <c:spPr>
              <a:solidFill>
                <a:srgbClr val="FFFF00"/>
              </a:solidFill>
            </c:spPr>
            <c:extLst>
              <c:ext xmlns:c16="http://schemas.microsoft.com/office/drawing/2014/chart" uri="{C3380CC4-5D6E-409C-BE32-E72D297353CC}">
                <c16:uniqueId val="{00000003-5BDC-434D-8C4E-12CD59F02720}"/>
              </c:ext>
            </c:extLst>
          </c:dPt>
          <c:dPt>
            <c:idx val="5"/>
            <c:invertIfNegative val="0"/>
            <c:bubble3D val="0"/>
            <c:spPr>
              <a:solidFill>
                <a:srgbClr val="FFFF00"/>
              </a:solidFill>
            </c:spPr>
            <c:extLst>
              <c:ext xmlns:c16="http://schemas.microsoft.com/office/drawing/2014/chart" uri="{C3380CC4-5D6E-409C-BE32-E72D297353CC}">
                <c16:uniqueId val="{00000005-5BDC-434D-8C4E-12CD59F02720}"/>
              </c:ext>
            </c:extLst>
          </c:dPt>
          <c:dPt>
            <c:idx val="7"/>
            <c:invertIfNegative val="0"/>
            <c:bubble3D val="0"/>
            <c:spPr>
              <a:solidFill>
                <a:srgbClr val="FFFF00"/>
              </a:solidFill>
            </c:spPr>
            <c:extLst>
              <c:ext xmlns:c16="http://schemas.microsoft.com/office/drawing/2014/chart" uri="{C3380CC4-5D6E-409C-BE32-E72D297353CC}">
                <c16:uniqueId val="{00000007-5BDC-434D-8C4E-12CD59F02720}"/>
              </c:ext>
            </c:extLst>
          </c:dPt>
          <c:dPt>
            <c:idx val="8"/>
            <c:invertIfNegative val="0"/>
            <c:bubble3D val="0"/>
            <c:spPr>
              <a:solidFill>
                <a:srgbClr val="FFFF00"/>
              </a:solidFill>
            </c:spPr>
            <c:extLst>
              <c:ext xmlns:c16="http://schemas.microsoft.com/office/drawing/2014/chart" uri="{C3380CC4-5D6E-409C-BE32-E72D297353CC}">
                <c16:uniqueId val="{00000009-5BDC-434D-8C4E-12CD59F02720}"/>
              </c:ext>
            </c:extLst>
          </c:dPt>
          <c:dPt>
            <c:idx val="10"/>
            <c:invertIfNegative val="0"/>
            <c:bubble3D val="0"/>
            <c:spPr>
              <a:solidFill>
                <a:srgbClr val="FFFF00"/>
              </a:solidFill>
            </c:spPr>
            <c:extLst>
              <c:ext xmlns:c16="http://schemas.microsoft.com/office/drawing/2014/chart" uri="{C3380CC4-5D6E-409C-BE32-E72D297353CC}">
                <c16:uniqueId val="{0000000B-5BDC-434D-8C4E-12CD59F02720}"/>
              </c:ext>
            </c:extLst>
          </c:dPt>
          <c:dPt>
            <c:idx val="11"/>
            <c:invertIfNegative val="0"/>
            <c:bubble3D val="0"/>
            <c:spPr>
              <a:solidFill>
                <a:srgbClr val="FFFF00"/>
              </a:solidFill>
            </c:spPr>
            <c:extLst>
              <c:ext xmlns:c16="http://schemas.microsoft.com/office/drawing/2014/chart" uri="{C3380CC4-5D6E-409C-BE32-E72D297353CC}">
                <c16:uniqueId val="{0000000D-5BDC-434D-8C4E-12CD59F02720}"/>
              </c:ext>
            </c:extLst>
          </c:dPt>
          <c:dPt>
            <c:idx val="12"/>
            <c:invertIfNegative val="0"/>
            <c:bubble3D val="0"/>
            <c:spPr>
              <a:solidFill>
                <a:srgbClr val="FFFF00"/>
              </a:solidFill>
            </c:spPr>
            <c:extLst>
              <c:ext xmlns:c16="http://schemas.microsoft.com/office/drawing/2014/chart" uri="{C3380CC4-5D6E-409C-BE32-E72D297353CC}">
                <c16:uniqueId val="{0000000F-5BDC-434D-8C4E-12CD59F02720}"/>
              </c:ext>
            </c:extLst>
          </c:dPt>
          <c:dPt>
            <c:idx val="14"/>
            <c:invertIfNegative val="0"/>
            <c:bubble3D val="0"/>
            <c:spPr>
              <a:solidFill>
                <a:srgbClr val="FFFF00"/>
              </a:solidFill>
            </c:spPr>
            <c:extLst>
              <c:ext xmlns:c16="http://schemas.microsoft.com/office/drawing/2014/chart" uri="{C3380CC4-5D6E-409C-BE32-E72D297353CC}">
                <c16:uniqueId val="{00000011-5BDC-434D-8C4E-12CD59F02720}"/>
              </c:ext>
            </c:extLst>
          </c:dPt>
          <c:dPt>
            <c:idx val="15"/>
            <c:invertIfNegative val="0"/>
            <c:bubble3D val="0"/>
            <c:spPr>
              <a:solidFill>
                <a:srgbClr val="FFFF00"/>
              </a:solidFill>
            </c:spPr>
            <c:extLst>
              <c:ext xmlns:c16="http://schemas.microsoft.com/office/drawing/2014/chart" uri="{C3380CC4-5D6E-409C-BE32-E72D297353CC}">
                <c16:uniqueId val="{00000013-5BDC-434D-8C4E-12CD59F02720}"/>
              </c:ext>
            </c:extLst>
          </c:dPt>
          <c:dPt>
            <c:idx val="16"/>
            <c:invertIfNegative val="0"/>
            <c:bubble3D val="0"/>
            <c:spPr>
              <a:solidFill>
                <a:srgbClr val="FFFF00"/>
              </a:solidFill>
            </c:spPr>
            <c:extLst>
              <c:ext xmlns:c16="http://schemas.microsoft.com/office/drawing/2014/chart" uri="{C3380CC4-5D6E-409C-BE32-E72D297353CC}">
                <c16:uniqueId val="{00000015-5BDC-434D-8C4E-12CD59F02720}"/>
              </c:ext>
            </c:extLst>
          </c:dPt>
          <c:dPt>
            <c:idx val="21"/>
            <c:invertIfNegative val="0"/>
            <c:bubble3D val="0"/>
            <c:spPr>
              <a:solidFill>
                <a:srgbClr val="FFFF00"/>
              </a:solidFill>
            </c:spPr>
            <c:extLst>
              <c:ext xmlns:c16="http://schemas.microsoft.com/office/drawing/2014/chart" uri="{C3380CC4-5D6E-409C-BE32-E72D297353CC}">
                <c16:uniqueId val="{00000017-5BDC-434D-8C4E-12CD59F02720}"/>
              </c:ext>
            </c:extLst>
          </c:dPt>
          <c:dPt>
            <c:idx val="23"/>
            <c:invertIfNegative val="0"/>
            <c:bubble3D val="0"/>
            <c:spPr>
              <a:solidFill>
                <a:srgbClr val="FFFF00"/>
              </a:solidFill>
            </c:spPr>
            <c:extLst>
              <c:ext xmlns:c16="http://schemas.microsoft.com/office/drawing/2014/chart" uri="{C3380CC4-5D6E-409C-BE32-E72D297353CC}">
                <c16:uniqueId val="{00000019-5BDC-434D-8C4E-12CD59F02720}"/>
              </c:ext>
            </c:extLst>
          </c:dPt>
          <c:dPt>
            <c:idx val="26"/>
            <c:invertIfNegative val="0"/>
            <c:bubble3D val="0"/>
            <c:spPr>
              <a:solidFill>
                <a:srgbClr val="FFFF00"/>
              </a:solidFill>
            </c:spPr>
            <c:extLst>
              <c:ext xmlns:c16="http://schemas.microsoft.com/office/drawing/2014/chart" uri="{C3380CC4-5D6E-409C-BE32-E72D297353CC}">
                <c16:uniqueId val="{0000001B-5BDC-434D-8C4E-12CD59F02720}"/>
              </c:ext>
            </c:extLst>
          </c:dPt>
          <c:dPt>
            <c:idx val="38"/>
            <c:invertIfNegative val="0"/>
            <c:bubble3D val="0"/>
            <c:spPr>
              <a:solidFill>
                <a:srgbClr val="FFFF00"/>
              </a:solidFill>
            </c:spPr>
            <c:extLst>
              <c:ext xmlns:c16="http://schemas.microsoft.com/office/drawing/2014/chart" uri="{C3380CC4-5D6E-409C-BE32-E72D297353CC}">
                <c16:uniqueId val="{0000001D-5BDC-434D-8C4E-12CD59F02720}"/>
              </c:ext>
            </c:extLst>
          </c:dPt>
          <c:cat>
            <c:strRef>
              <c:f>'[KMK Anteile Schüler mit SoPäFö 1999_2015 Länder.xlsx]Europa'!$A$77:$A$122</c:f>
              <c:strCache>
                <c:ptCount val="46"/>
                <c:pt idx="0">
                  <c:v>Belgien (fläm.)</c:v>
                </c:pt>
                <c:pt idx="1">
                  <c:v>Schweden</c:v>
                </c:pt>
                <c:pt idx="2">
                  <c:v>Belgien (fr.)</c:v>
                </c:pt>
                <c:pt idx="3">
                  <c:v>Hessen</c:v>
                </c:pt>
                <c:pt idx="4">
                  <c:v>Bayern</c:v>
                </c:pt>
                <c:pt idx="5">
                  <c:v>Rheinland-P.</c:v>
                </c:pt>
                <c:pt idx="6">
                  <c:v>Deutschland</c:v>
                </c:pt>
                <c:pt idx="7">
                  <c:v>Sachsen-A.</c:v>
                </c:pt>
                <c:pt idx="8">
                  <c:v>Baden-Würrtt.</c:v>
                </c:pt>
                <c:pt idx="9">
                  <c:v>Niederlande</c:v>
                </c:pt>
                <c:pt idx="10">
                  <c:v>Thüringen</c:v>
                </c:pt>
                <c:pt idx="11">
                  <c:v>Nordrhein-W</c:v>
                </c:pt>
                <c:pt idx="12">
                  <c:v>Mecklenburg</c:v>
                </c:pt>
                <c:pt idx="13">
                  <c:v>Lettland</c:v>
                </c:pt>
                <c:pt idx="14">
                  <c:v>Niedersachsen</c:v>
                </c:pt>
                <c:pt idx="15">
                  <c:v>Brandenburg</c:v>
                </c:pt>
                <c:pt idx="16">
                  <c:v>Saarland</c:v>
                </c:pt>
                <c:pt idx="17">
                  <c:v>Schweiz</c:v>
                </c:pt>
                <c:pt idx="18">
                  <c:v>Polen</c:v>
                </c:pt>
                <c:pt idx="19">
                  <c:v>England</c:v>
                </c:pt>
                <c:pt idx="20">
                  <c:v>Durchschnitt</c:v>
                </c:pt>
                <c:pt idx="21">
                  <c:v>Berlin</c:v>
                </c:pt>
                <c:pt idx="22">
                  <c:v>Slowakei</c:v>
                </c:pt>
                <c:pt idx="23">
                  <c:v>Hamburg</c:v>
                </c:pt>
                <c:pt idx="24">
                  <c:v>Dänemark</c:v>
                </c:pt>
                <c:pt idx="25">
                  <c:v>Estland</c:v>
                </c:pt>
                <c:pt idx="26">
                  <c:v>Schleswig-H</c:v>
                </c:pt>
                <c:pt idx="27">
                  <c:v>Tschechien</c:v>
                </c:pt>
                <c:pt idx="28">
                  <c:v>Ungarn</c:v>
                </c:pt>
                <c:pt idx="29">
                  <c:v>Nordirland</c:v>
                </c:pt>
                <c:pt idx="30">
                  <c:v>Wales</c:v>
                </c:pt>
                <c:pt idx="31">
                  <c:v>Luxemburg</c:v>
                </c:pt>
                <c:pt idx="32">
                  <c:v>Slovenien</c:v>
                </c:pt>
                <c:pt idx="33">
                  <c:v>Frankreich</c:v>
                </c:pt>
                <c:pt idx="34">
                  <c:v>Irland</c:v>
                </c:pt>
                <c:pt idx="35">
                  <c:v>Spanien</c:v>
                </c:pt>
                <c:pt idx="36">
                  <c:v>Finland</c:v>
                </c:pt>
                <c:pt idx="37">
                  <c:v>Litauen</c:v>
                </c:pt>
                <c:pt idx="38">
                  <c:v>Bremen</c:v>
                </c:pt>
                <c:pt idx="39">
                  <c:v>Schottland</c:v>
                </c:pt>
                <c:pt idx="40">
                  <c:v>Zypern</c:v>
                </c:pt>
                <c:pt idx="41">
                  <c:v>Kroatien</c:v>
                </c:pt>
                <c:pt idx="42">
                  <c:v>Norwegen</c:v>
                </c:pt>
                <c:pt idx="43">
                  <c:v>Island</c:v>
                </c:pt>
                <c:pt idx="44">
                  <c:v>Malta</c:v>
                </c:pt>
                <c:pt idx="45">
                  <c:v>Portugal</c:v>
                </c:pt>
              </c:strCache>
            </c:strRef>
          </c:cat>
          <c:val>
            <c:numRef>
              <c:f>'[KMK Anteile Schüler mit SoPäFö 1999_2015 Länder.xlsx]Europa'!$B$77:$B$122</c:f>
              <c:numCache>
                <c:formatCode>General</c:formatCode>
                <c:ptCount val="46"/>
                <c:pt idx="0">
                  <c:v>95.73</c:v>
                </c:pt>
                <c:pt idx="1">
                  <c:v>87.38</c:v>
                </c:pt>
                <c:pt idx="2">
                  <c:v>82.54</c:v>
                </c:pt>
                <c:pt idx="3">
                  <c:v>74.63</c:v>
                </c:pt>
                <c:pt idx="4">
                  <c:v>72.709999999999994</c:v>
                </c:pt>
                <c:pt idx="5">
                  <c:v>69.410000000000025</c:v>
                </c:pt>
                <c:pt idx="6">
                  <c:v>68.47</c:v>
                </c:pt>
                <c:pt idx="7">
                  <c:v>67.02</c:v>
                </c:pt>
                <c:pt idx="8" formatCode="0.00">
                  <c:v>66</c:v>
                </c:pt>
                <c:pt idx="9">
                  <c:v>64.739999999999995</c:v>
                </c:pt>
                <c:pt idx="10">
                  <c:v>63.49</c:v>
                </c:pt>
                <c:pt idx="11">
                  <c:v>62.660000000000011</c:v>
                </c:pt>
                <c:pt idx="12">
                  <c:v>60.15</c:v>
                </c:pt>
                <c:pt idx="13">
                  <c:v>59.15</c:v>
                </c:pt>
                <c:pt idx="14" formatCode="0.00">
                  <c:v>58.6</c:v>
                </c:pt>
                <c:pt idx="15">
                  <c:v>52.52</c:v>
                </c:pt>
                <c:pt idx="16">
                  <c:v>51.41</c:v>
                </c:pt>
                <c:pt idx="17">
                  <c:v>50.77</c:v>
                </c:pt>
                <c:pt idx="18">
                  <c:v>48.75</c:v>
                </c:pt>
                <c:pt idx="19">
                  <c:v>41.27</c:v>
                </c:pt>
                <c:pt idx="20">
                  <c:v>40.04</c:v>
                </c:pt>
                <c:pt idx="21">
                  <c:v>39.56</c:v>
                </c:pt>
                <c:pt idx="22">
                  <c:v>37.690000000000012</c:v>
                </c:pt>
                <c:pt idx="23">
                  <c:v>37.270000000000003</c:v>
                </c:pt>
                <c:pt idx="24">
                  <c:v>36.849999999999994</c:v>
                </c:pt>
                <c:pt idx="25">
                  <c:v>36.410000000000004</c:v>
                </c:pt>
                <c:pt idx="26">
                  <c:v>34.760000000000012</c:v>
                </c:pt>
                <c:pt idx="27">
                  <c:v>34.660000000000011</c:v>
                </c:pt>
                <c:pt idx="28">
                  <c:v>32.71</c:v>
                </c:pt>
                <c:pt idx="29">
                  <c:v>28.47</c:v>
                </c:pt>
                <c:pt idx="30" formatCode="0.00">
                  <c:v>26.8</c:v>
                </c:pt>
                <c:pt idx="31">
                  <c:v>22.779999999999987</c:v>
                </c:pt>
                <c:pt idx="32">
                  <c:v>21.22</c:v>
                </c:pt>
                <c:pt idx="33">
                  <c:v>20.830000000000005</c:v>
                </c:pt>
                <c:pt idx="34">
                  <c:v>18.75</c:v>
                </c:pt>
                <c:pt idx="35">
                  <c:v>18.59</c:v>
                </c:pt>
                <c:pt idx="36">
                  <c:v>12.41</c:v>
                </c:pt>
                <c:pt idx="37" formatCode="0.00">
                  <c:v>9.4</c:v>
                </c:pt>
                <c:pt idx="38">
                  <c:v>7.08</c:v>
                </c:pt>
                <c:pt idx="39">
                  <c:v>5.57</c:v>
                </c:pt>
                <c:pt idx="40">
                  <c:v>5.53</c:v>
                </c:pt>
                <c:pt idx="41">
                  <c:v>4.99</c:v>
                </c:pt>
                <c:pt idx="42">
                  <c:v>3.04</c:v>
                </c:pt>
                <c:pt idx="43">
                  <c:v>2.06</c:v>
                </c:pt>
                <c:pt idx="44">
                  <c:v>1.82</c:v>
                </c:pt>
                <c:pt idx="45">
                  <c:v>1.74</c:v>
                </c:pt>
              </c:numCache>
            </c:numRef>
          </c:val>
          <c:extLst>
            <c:ext xmlns:c16="http://schemas.microsoft.com/office/drawing/2014/chart" uri="{C3380CC4-5D6E-409C-BE32-E72D297353CC}">
              <c16:uniqueId val="{0000001E-5BDC-434D-8C4E-12CD59F02720}"/>
            </c:ext>
          </c:extLst>
        </c:ser>
        <c:dLbls>
          <c:showLegendKey val="0"/>
          <c:showVal val="0"/>
          <c:showCatName val="0"/>
          <c:showSerName val="0"/>
          <c:showPercent val="0"/>
          <c:showBubbleSize val="0"/>
        </c:dLbls>
        <c:gapWidth val="150"/>
        <c:shape val="box"/>
        <c:axId val="94977408"/>
        <c:axId val="95040640"/>
        <c:axId val="0"/>
      </c:bar3DChart>
      <c:catAx>
        <c:axId val="94977408"/>
        <c:scaling>
          <c:orientation val="minMax"/>
        </c:scaling>
        <c:delete val="0"/>
        <c:axPos val="b"/>
        <c:numFmt formatCode="General" sourceLinked="0"/>
        <c:majorTickMark val="out"/>
        <c:minorTickMark val="none"/>
        <c:tickLblPos val="nextTo"/>
        <c:txPr>
          <a:bodyPr/>
          <a:lstStyle/>
          <a:p>
            <a:pPr>
              <a:defRPr sz="700"/>
            </a:pPr>
            <a:endParaRPr lang="de-DE"/>
          </a:p>
        </c:txPr>
        <c:crossAx val="95040640"/>
        <c:crosses val="autoZero"/>
        <c:auto val="1"/>
        <c:lblAlgn val="ctr"/>
        <c:lblOffset val="100"/>
        <c:noMultiLvlLbl val="0"/>
      </c:catAx>
      <c:valAx>
        <c:axId val="95040640"/>
        <c:scaling>
          <c:orientation val="minMax"/>
        </c:scaling>
        <c:delete val="0"/>
        <c:axPos val="l"/>
        <c:majorGridlines/>
        <c:numFmt formatCode="General" sourceLinked="1"/>
        <c:majorTickMark val="out"/>
        <c:minorTickMark val="none"/>
        <c:tickLblPos val="nextTo"/>
        <c:txPr>
          <a:bodyPr/>
          <a:lstStyle/>
          <a:p>
            <a:pPr>
              <a:defRPr sz="800"/>
            </a:pPr>
            <a:endParaRPr lang="de-DE"/>
          </a:p>
        </c:txPr>
        <c:crossAx val="949774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a:ea typeface="Helvetica"/>
        <a:cs typeface="Helvetica"/>
      </a:majorFont>
      <a:minorFont>
        <a:latin typeface="Helvetica"/>
        <a:ea typeface="Helvetica"/>
        <a:cs typeface="Helvetic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9186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Pluhar</dc:creator>
  <cp:lastModifiedBy>Ulf Daude</cp:lastModifiedBy>
  <cp:revision>2</cp:revision>
  <dcterms:created xsi:type="dcterms:W3CDTF">2018-12-14T07:22:00Z</dcterms:created>
  <dcterms:modified xsi:type="dcterms:W3CDTF">2018-12-14T07:22:00Z</dcterms:modified>
</cp:coreProperties>
</file>